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3261"/>
      </w:tblGrid>
      <w:tr w:rsidR="00A55363" w:rsidRPr="0032784D" w14:paraId="4A32FB6C" w14:textId="77777777" w:rsidTr="00D771E4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6B05E934" w14:textId="77777777" w:rsidR="00A55363" w:rsidRPr="0032784D" w:rsidRDefault="007D747F" w:rsidP="00DD4FA1">
            <w:r>
              <w:rPr>
                <w:noProof/>
                <w:lang w:val="en-GB" w:eastAsia="en-GB"/>
              </w:rPr>
              <w:drawing>
                <wp:inline distT="0" distB="0" distL="0" distR="0" wp14:anchorId="7A86B8B3" wp14:editId="1D6894D5">
                  <wp:extent cx="873760" cy="690880"/>
                  <wp:effectExtent l="0" t="0" r="0" b="0"/>
                  <wp:docPr id="1" name="Picture 4" descr="Beschreibung: D:\IPMA\Website\Intranet\323 Official Graphics\IPMA_full_logo_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eibung: D:\IPMA\Website\Intranet\323 Official Graphics\IPMA_full_logo_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CD05FC2" w14:textId="5C0F38EE" w:rsidR="00A55363" w:rsidRPr="0032784D" w:rsidRDefault="00FC6386" w:rsidP="0032784D">
            <w:pPr>
              <w:pStyle w:val="ICRHBDocumentTitle"/>
              <w:spacing w:line="240" w:lineRule="auto"/>
              <w:jc w:val="center"/>
            </w:pPr>
            <w:bookmarkStart w:id="0" w:name="_Toc466150002"/>
            <w:r>
              <w:t>Complaints and Appeals</w:t>
            </w:r>
            <w:bookmarkEnd w:id="0"/>
            <w:r w:rsidR="00F72447">
              <w:t xml:space="preserve"> </w:t>
            </w:r>
            <w:r w:rsidR="00466212">
              <w:t>Guidelines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F676A9" w14:textId="50B497BD" w:rsidR="00A55363" w:rsidRPr="0032784D" w:rsidRDefault="00D771E4" w:rsidP="0032784D">
            <w:pPr>
              <w:pStyle w:val="ICRHBNormal"/>
              <w:spacing w:after="0" w:line="240" w:lineRule="auto"/>
              <w:jc w:val="center"/>
              <w:rPr>
                <w:i/>
                <w:color w:val="E00012"/>
              </w:rPr>
            </w:pPr>
            <w:r>
              <w:rPr>
                <w:rFonts w:ascii="Calibri" w:hAnsi="Calibri"/>
                <w:noProof/>
                <w:sz w:val="20"/>
                <w:lang w:eastAsia="en-GB"/>
              </w:rPr>
              <w:drawing>
                <wp:inline distT="0" distB="0" distL="0" distR="0" wp14:anchorId="3B2E08EC" wp14:editId="701928B6">
                  <wp:extent cx="1790700" cy="647700"/>
                  <wp:effectExtent l="0" t="0" r="0" b="0"/>
                  <wp:docPr id="2" name="Picture 2" descr="LOGO%20novi%20za%20statut-HU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novi%20za%20statut-HU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533" cy="64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449C2" w14:textId="77777777" w:rsidR="000965A2" w:rsidRDefault="000965A2" w:rsidP="00315C2B">
      <w:pPr>
        <w:pStyle w:val="ICRHBNormal"/>
      </w:pPr>
    </w:p>
    <w:p w14:paraId="70EE640D" w14:textId="77777777" w:rsidR="006C3A3F" w:rsidRPr="00CD678E" w:rsidRDefault="006C3A3F" w:rsidP="00E67B06">
      <w:pPr>
        <w:pStyle w:val="ICRHBNormal"/>
        <w:jc w:val="center"/>
        <w:rPr>
          <w:b/>
          <w:i/>
          <w:color w:val="008000"/>
        </w:rPr>
      </w:pPr>
      <w:r w:rsidRPr="00CD678E">
        <w:rPr>
          <w:b/>
          <w:i/>
          <w:color w:val="008000"/>
        </w:rPr>
        <w:t>Please consider the environment before printing this document</w:t>
      </w:r>
    </w:p>
    <w:p w14:paraId="048138FE" w14:textId="77777777" w:rsidR="00980681" w:rsidRPr="00DB4781" w:rsidRDefault="00204AAD" w:rsidP="00AA11A9">
      <w:pPr>
        <w:pStyle w:val="ICRHBNormal"/>
        <w:rPr>
          <w:rFonts w:eastAsia="MS Gothic" w:cs="Arial"/>
          <w:b/>
          <w:color w:val="4F81BD" w:themeColor="accent1"/>
          <w:sz w:val="28"/>
          <w:szCs w:val="32"/>
        </w:rPr>
      </w:pPr>
      <w:bookmarkStart w:id="1" w:name="_Toc447403544"/>
      <w:bookmarkStart w:id="2" w:name="_Toc321316092"/>
      <w:bookmarkStart w:id="3" w:name="_Toc321329578"/>
      <w:bookmarkStart w:id="4" w:name="_Toc321330884"/>
      <w:bookmarkStart w:id="5" w:name="_Toc321331486"/>
      <w:bookmarkStart w:id="6" w:name="_Toc322264301"/>
      <w:bookmarkStart w:id="7" w:name="_Toc322270203"/>
      <w:r w:rsidRPr="00DB4781">
        <w:rPr>
          <w:rFonts w:eastAsiaTheme="majorEastAsia" w:cs="Arial"/>
          <w:b/>
          <w:color w:val="4F81BD" w:themeColor="accent1"/>
          <w:sz w:val="28"/>
          <w:szCs w:val="32"/>
        </w:rPr>
        <w:t>V</w:t>
      </w:r>
      <w:r w:rsidR="00980681" w:rsidRPr="00DB4781">
        <w:rPr>
          <w:rFonts w:eastAsiaTheme="majorEastAsia" w:cs="Arial"/>
          <w:b/>
          <w:color w:val="4F81BD" w:themeColor="accent1"/>
          <w:sz w:val="28"/>
          <w:szCs w:val="32"/>
        </w:rPr>
        <w:t>ersion</w:t>
      </w:r>
      <w:bookmarkEnd w:id="1"/>
      <w:r w:rsidRPr="00DB4781">
        <w:rPr>
          <w:rFonts w:eastAsia="MS Gothic" w:cs="Arial"/>
          <w:b/>
          <w:color w:val="4F81BD" w:themeColor="accent1"/>
          <w:sz w:val="28"/>
          <w:szCs w:val="32"/>
        </w:rPr>
        <w:t xml:space="preserve"> control</w:t>
      </w:r>
      <w:bookmarkEnd w:id="2"/>
      <w:bookmarkEnd w:id="3"/>
      <w:bookmarkEnd w:id="4"/>
      <w:bookmarkEnd w:id="5"/>
      <w:bookmarkEnd w:id="6"/>
      <w:bookmarkEnd w:id="7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80681" w:rsidRPr="0032784D" w14:paraId="0FF866C2" w14:textId="77777777" w:rsidTr="008C7428">
        <w:trPr>
          <w:tblHeader/>
          <w:jc w:val="center"/>
        </w:trPr>
        <w:tc>
          <w:tcPr>
            <w:tcW w:w="4537" w:type="dxa"/>
            <w:vAlign w:val="center"/>
          </w:tcPr>
          <w:p w14:paraId="6C741BE6" w14:textId="77777777" w:rsidR="00980681" w:rsidRPr="0032784D" w:rsidRDefault="00980681" w:rsidP="009B75CD">
            <w:pPr>
              <w:pStyle w:val="ICRHBTableHeader"/>
            </w:pPr>
            <w:r w:rsidRPr="0032784D">
              <w:t>Version</w:t>
            </w:r>
            <w:r w:rsidR="000308BD" w:rsidRPr="0032784D">
              <w:t xml:space="preserve"> and </w:t>
            </w:r>
            <w:r w:rsidR="00162A93" w:rsidRPr="0032784D">
              <w:t>d</w:t>
            </w:r>
            <w:r w:rsidRPr="0032784D">
              <w:t xml:space="preserve">ate of </w:t>
            </w:r>
            <w:r w:rsidR="005B2F68" w:rsidRPr="0032784D">
              <w:t xml:space="preserve">CVMB </w:t>
            </w:r>
            <w:r w:rsidR="00162A93" w:rsidRPr="0032784D">
              <w:t>a</w:t>
            </w:r>
            <w:r w:rsidRPr="0032784D">
              <w:t>pproval</w:t>
            </w:r>
          </w:p>
        </w:tc>
        <w:tc>
          <w:tcPr>
            <w:tcW w:w="2551" w:type="dxa"/>
            <w:vAlign w:val="center"/>
          </w:tcPr>
          <w:p w14:paraId="3D5F262A" w14:textId="77777777" w:rsidR="00980681" w:rsidRPr="0032784D" w:rsidRDefault="00980681" w:rsidP="009B75CD">
            <w:pPr>
              <w:pStyle w:val="ICRHBTableHeader"/>
            </w:pPr>
            <w:r w:rsidRPr="0032784D">
              <w:t>Date</w:t>
            </w:r>
          </w:p>
        </w:tc>
        <w:tc>
          <w:tcPr>
            <w:tcW w:w="2551" w:type="dxa"/>
            <w:vAlign w:val="center"/>
          </w:tcPr>
          <w:p w14:paraId="0647EA69" w14:textId="77777777" w:rsidR="00980681" w:rsidRPr="0032784D" w:rsidRDefault="00980681" w:rsidP="009B75CD">
            <w:pPr>
              <w:pStyle w:val="ICRHBTableHeader"/>
            </w:pPr>
            <w:r w:rsidRPr="0032784D">
              <w:t>Valid until</w:t>
            </w:r>
          </w:p>
        </w:tc>
      </w:tr>
      <w:tr w:rsidR="005877CA" w:rsidRPr="0032784D" w14:paraId="4A260E00" w14:textId="77777777" w:rsidTr="008C7428">
        <w:trPr>
          <w:jc w:val="center"/>
        </w:trPr>
        <w:tc>
          <w:tcPr>
            <w:tcW w:w="4537" w:type="dxa"/>
          </w:tcPr>
          <w:p w14:paraId="478AE530" w14:textId="465D6B92" w:rsidR="005877CA" w:rsidRPr="0032784D" w:rsidRDefault="005877CA" w:rsidP="005877CA">
            <w:pPr>
              <w:pStyle w:val="ICRHBTableText"/>
            </w:pPr>
            <w:r w:rsidRPr="005E79B3">
              <w:rPr>
                <w:color w:val="FF0000"/>
              </w:rPr>
              <w:t xml:space="preserve">Version 1.0 </w:t>
            </w:r>
          </w:p>
        </w:tc>
        <w:tc>
          <w:tcPr>
            <w:tcW w:w="2551" w:type="dxa"/>
          </w:tcPr>
          <w:p w14:paraId="36872B92" w14:textId="29A38B37" w:rsidR="005877CA" w:rsidRPr="0032784D" w:rsidRDefault="005877CA" w:rsidP="005877CA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10.01.2017</w:t>
            </w:r>
          </w:p>
        </w:tc>
        <w:tc>
          <w:tcPr>
            <w:tcW w:w="2551" w:type="dxa"/>
          </w:tcPr>
          <w:p w14:paraId="7A9F3E4D" w14:textId="351C00EC" w:rsidR="005877CA" w:rsidRPr="0032784D" w:rsidRDefault="005877CA" w:rsidP="005877CA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14:paraId="30F403EC" w14:textId="77777777" w:rsidR="00AA11A9" w:rsidRPr="0032784D" w:rsidRDefault="00AA11A9" w:rsidP="00AA11A9">
      <w:pPr>
        <w:pStyle w:val="ICRHBNormal"/>
        <w:rPr>
          <w:rFonts w:eastAsia="MS Gothic" w:cs="Arial"/>
          <w:b/>
          <w:sz w:val="28"/>
          <w:szCs w:val="32"/>
        </w:rPr>
      </w:pPr>
      <w:bookmarkStart w:id="8" w:name="_Toc447403545"/>
      <w:bookmarkStart w:id="9" w:name="_Toc321316093"/>
      <w:bookmarkStart w:id="10" w:name="_Toc321329579"/>
      <w:bookmarkStart w:id="11" w:name="_Toc321330885"/>
      <w:bookmarkStart w:id="12" w:name="_Toc321331487"/>
      <w:bookmarkStart w:id="13" w:name="_Toc322264302"/>
      <w:bookmarkStart w:id="14" w:name="_Toc322270204"/>
    </w:p>
    <w:p w14:paraId="1C473A1F" w14:textId="77777777" w:rsidR="00980681" w:rsidRPr="00DB4781" w:rsidRDefault="00204AAD" w:rsidP="00AA11A9">
      <w:pPr>
        <w:pStyle w:val="ICRHBNormal"/>
        <w:rPr>
          <w:rFonts w:eastAsia="MS Gothic" w:cs="Arial"/>
          <w:b/>
          <w:color w:val="4F81BD" w:themeColor="accent1"/>
          <w:sz w:val="28"/>
          <w:szCs w:val="32"/>
        </w:rPr>
      </w:pPr>
      <w:r w:rsidRPr="00DB4781">
        <w:rPr>
          <w:rFonts w:eastAsia="MS Gothic" w:cs="Arial"/>
          <w:b/>
          <w:color w:val="4F81BD" w:themeColor="accent1"/>
          <w:sz w:val="28"/>
          <w:szCs w:val="32"/>
        </w:rPr>
        <w:t>Configuration</w:t>
      </w:r>
      <w:r w:rsidR="00980681" w:rsidRPr="00DB4781">
        <w:rPr>
          <w:rFonts w:eastAsia="MS Gothic" w:cs="Arial"/>
          <w:b/>
          <w:color w:val="4F81BD" w:themeColor="accent1"/>
          <w:sz w:val="28"/>
          <w:szCs w:val="32"/>
        </w:rPr>
        <w:t xml:space="preserve"> control</w:t>
      </w:r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3"/>
        <w:gridCol w:w="5102"/>
      </w:tblGrid>
      <w:tr w:rsidR="00F64562" w:rsidRPr="0032784D" w14:paraId="6EF04DA2" w14:textId="77777777" w:rsidTr="009B75CD">
        <w:trPr>
          <w:jc w:val="center"/>
        </w:trPr>
        <w:tc>
          <w:tcPr>
            <w:tcW w:w="1512" w:type="dxa"/>
            <w:vAlign w:val="center"/>
          </w:tcPr>
          <w:p w14:paraId="738D7261" w14:textId="77777777" w:rsidR="00980681" w:rsidRPr="0032784D" w:rsidRDefault="00980681" w:rsidP="009B75CD">
            <w:pPr>
              <w:pStyle w:val="ICRHBTableHeader"/>
            </w:pPr>
            <w:r w:rsidRPr="0032784D">
              <w:t>Date</w:t>
            </w:r>
          </w:p>
        </w:tc>
        <w:tc>
          <w:tcPr>
            <w:tcW w:w="1512" w:type="dxa"/>
            <w:vAlign w:val="center"/>
          </w:tcPr>
          <w:p w14:paraId="1469D925" w14:textId="77777777" w:rsidR="00980681" w:rsidRPr="0032784D" w:rsidRDefault="00980681" w:rsidP="009B75CD">
            <w:pPr>
              <w:pStyle w:val="ICRHBTableHeader"/>
            </w:pPr>
            <w:r w:rsidRPr="0032784D">
              <w:t>Version</w:t>
            </w:r>
          </w:p>
        </w:tc>
        <w:tc>
          <w:tcPr>
            <w:tcW w:w="1513" w:type="dxa"/>
            <w:vAlign w:val="center"/>
          </w:tcPr>
          <w:p w14:paraId="3BBC151E" w14:textId="77777777" w:rsidR="00980681" w:rsidRPr="0032784D" w:rsidRDefault="007E61E9" w:rsidP="009B75CD">
            <w:pPr>
              <w:pStyle w:val="ICRHBTableHeader"/>
            </w:pPr>
            <w:r w:rsidRPr="0032784D">
              <w:t>Section</w:t>
            </w:r>
          </w:p>
        </w:tc>
        <w:tc>
          <w:tcPr>
            <w:tcW w:w="5102" w:type="dxa"/>
            <w:vAlign w:val="center"/>
          </w:tcPr>
          <w:p w14:paraId="3982EDF9" w14:textId="77777777" w:rsidR="00980681" w:rsidRPr="0032784D" w:rsidRDefault="00980681" w:rsidP="009B75CD">
            <w:pPr>
              <w:pStyle w:val="ICRHBTableHeader"/>
            </w:pPr>
            <w:r w:rsidRPr="0032784D">
              <w:t>Change</w:t>
            </w:r>
          </w:p>
        </w:tc>
      </w:tr>
      <w:tr w:rsidR="00F64562" w:rsidRPr="00BB13A0" w14:paraId="1403E332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3A70" w14:textId="47A16E36" w:rsidR="00980681" w:rsidRPr="0032784D" w:rsidRDefault="000F4A07" w:rsidP="00C7344E">
            <w:pPr>
              <w:pStyle w:val="ICRHBTableText"/>
            </w:pPr>
            <w:r>
              <w:t>0</w:t>
            </w:r>
            <w:r w:rsidR="000219F9">
              <w:t>5.08.2016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474" w14:textId="7EDF591C" w:rsidR="00980681" w:rsidRPr="0032784D" w:rsidRDefault="000219F9" w:rsidP="004F40A4">
            <w:pPr>
              <w:pStyle w:val="ICRHBTableText"/>
            </w:pPr>
            <w:r>
              <w:t>0</w:t>
            </w:r>
            <w:r w:rsidR="003A24FF">
              <w:t>.</w:t>
            </w: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2812" w14:textId="13F40C64" w:rsidR="00980681" w:rsidRPr="0032784D" w:rsidRDefault="000219F9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CD1" w14:textId="39385202" w:rsidR="00980681" w:rsidRPr="0032784D" w:rsidRDefault="00FC6386" w:rsidP="00765D87">
            <w:pPr>
              <w:pStyle w:val="ICRHBTableBullets"/>
            </w:pPr>
            <w:r>
              <w:t>Initial draft</w:t>
            </w:r>
          </w:p>
        </w:tc>
      </w:tr>
      <w:tr w:rsidR="00FC6386" w:rsidRPr="00D30BFD" w14:paraId="101F0D01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C543" w14:textId="4AA4F032" w:rsidR="00FC6386" w:rsidRDefault="00FC6386" w:rsidP="00FC6386">
            <w:pPr>
              <w:pStyle w:val="ICRHBTableText"/>
            </w:pPr>
            <w:r>
              <w:t>30.05.2016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77F3" w14:textId="69F76017" w:rsidR="00FC6386" w:rsidRDefault="00FC6386" w:rsidP="00FC6386">
            <w:pPr>
              <w:pStyle w:val="ICRHBTableText"/>
            </w:pPr>
            <w:r>
              <w:t>0.2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9298" w14:textId="5B5CEBF7" w:rsidR="00FC6386" w:rsidRDefault="00FC6386" w:rsidP="00FC6386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9C5" w14:textId="77777777" w:rsidR="00FC6386" w:rsidRDefault="00FC6386" w:rsidP="00FC6386">
            <w:pPr>
              <w:pStyle w:val="ICRHBTableBullets"/>
            </w:pPr>
            <w:r>
              <w:t>Eliminated “ethics” from content</w:t>
            </w:r>
          </w:p>
          <w:p w14:paraId="1A4CD1F3" w14:textId="570608EF" w:rsidR="00FC6386" w:rsidRDefault="00FC6386" w:rsidP="00FC6386">
            <w:pPr>
              <w:pStyle w:val="ICRHBTableBullets"/>
            </w:pPr>
            <w:r>
              <w:t>Switched order of complaints and appeals to match order in ICR4</w:t>
            </w:r>
          </w:p>
        </w:tc>
      </w:tr>
      <w:tr w:rsidR="00472EB8" w:rsidRPr="00D30BFD" w14:paraId="4E07842A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3C3" w14:textId="2B31CC95" w:rsidR="00472EB8" w:rsidRPr="0032784D" w:rsidRDefault="00466212" w:rsidP="00C7344E">
            <w:pPr>
              <w:pStyle w:val="ICRHBTableText"/>
            </w:pPr>
            <w:r>
              <w:t>05</w:t>
            </w:r>
            <w:r w:rsidR="00FC6386">
              <w:t>.11</w:t>
            </w:r>
            <w:r w:rsidR="00FF56AF">
              <w:t>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FE6F" w14:textId="3517AFD9" w:rsidR="00472EB8" w:rsidRPr="0032784D" w:rsidRDefault="00FF56AF" w:rsidP="004F40A4">
            <w:pPr>
              <w:pStyle w:val="ICRHBTableText"/>
            </w:pPr>
            <w:r>
              <w:t>0.</w:t>
            </w:r>
            <w:r w:rsidR="007E3E8D"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C60F" w14:textId="6A477912" w:rsidR="00472EB8" w:rsidRPr="0032784D" w:rsidRDefault="00FF56AF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035" w14:textId="3FC68749" w:rsidR="00472EB8" w:rsidRPr="0032784D" w:rsidRDefault="00FC6386" w:rsidP="00765D87">
            <w:pPr>
              <w:pStyle w:val="ICRHBTableBullets"/>
            </w:pPr>
            <w:r>
              <w:t>All (redo the previous document)</w:t>
            </w:r>
          </w:p>
        </w:tc>
      </w:tr>
      <w:tr w:rsidR="00D30BFD" w:rsidRPr="00D30BFD" w14:paraId="03425A0E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D1A4" w14:textId="46C04380" w:rsidR="00D30BFD" w:rsidRDefault="00D30BFD" w:rsidP="00C7344E">
            <w:pPr>
              <w:pStyle w:val="ICRHBTableText"/>
            </w:pPr>
            <w:r>
              <w:t>12.12.2016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3A4" w14:textId="3E510499" w:rsidR="00D30BFD" w:rsidRDefault="00D30BFD" w:rsidP="004F40A4">
            <w:pPr>
              <w:pStyle w:val="ICRHBTableText"/>
            </w:pPr>
            <w:r>
              <w:t>0.4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B3DC" w14:textId="3616EDF0" w:rsidR="00D30BFD" w:rsidRDefault="00D30BFD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929" w14:textId="77777777" w:rsidR="00D30BFD" w:rsidRDefault="00D30BFD" w:rsidP="00765D87">
            <w:pPr>
              <w:pStyle w:val="ICRHBTableBullets"/>
            </w:pPr>
            <w:r>
              <w:t>Minor changes in wording</w:t>
            </w:r>
          </w:p>
          <w:p w14:paraId="2A89CB20" w14:textId="614704EE" w:rsidR="00D30BFD" w:rsidRDefault="00D30BFD" w:rsidP="00765D87">
            <w:pPr>
              <w:pStyle w:val="ICRHBTableBullets"/>
            </w:pPr>
            <w:r>
              <w:t>Style according to the Document Design Guidelines</w:t>
            </w:r>
          </w:p>
        </w:tc>
      </w:tr>
      <w:tr w:rsidR="005877CA" w:rsidRPr="008F5A7B" w14:paraId="0C98299F" w14:textId="77777777" w:rsidTr="00AE5DE1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D31" w14:textId="77777777" w:rsidR="005877CA" w:rsidRDefault="005877CA" w:rsidP="00AE5DE1">
            <w:pPr>
              <w:pStyle w:val="ICRHBTableText"/>
            </w:pPr>
            <w:r w:rsidRPr="00440ADE">
              <w:t>1</w:t>
            </w:r>
            <w:r>
              <w:t>0</w:t>
            </w:r>
            <w:r w:rsidRPr="00440ADE">
              <w:t>.</w:t>
            </w:r>
            <w:r>
              <w:t>0</w:t>
            </w:r>
            <w:r w:rsidRPr="00440ADE">
              <w:t>1</w:t>
            </w:r>
            <w:r>
              <w:t>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535" w14:textId="77777777" w:rsidR="005877CA" w:rsidRDefault="005877CA" w:rsidP="00AE5DE1">
            <w:pPr>
              <w:pStyle w:val="ICRHBTableText"/>
            </w:pPr>
            <w:r w:rsidRPr="00440ADE">
              <w:t>1.0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504" w14:textId="77777777" w:rsidR="005877CA" w:rsidRDefault="005877CA" w:rsidP="00AE5DE1">
            <w:pPr>
              <w:pStyle w:val="ICRHBTableText"/>
            </w:pPr>
            <w:r>
              <w:t>a</w:t>
            </w:r>
            <w:r w:rsidRPr="00440ADE">
              <w:t>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D64" w14:textId="77777777" w:rsidR="005877CA" w:rsidRDefault="005877CA" w:rsidP="00AE5DE1">
            <w:pPr>
              <w:pStyle w:val="ICRHBTableBullets"/>
            </w:pPr>
            <w:r w:rsidRPr="00440ADE">
              <w:t>Endorsed by CVMB for CB use and modification</w:t>
            </w:r>
          </w:p>
        </w:tc>
      </w:tr>
    </w:tbl>
    <w:p w14:paraId="116620F8" w14:textId="3F2EF72B" w:rsidR="007E61E9" w:rsidRDefault="007E61E9" w:rsidP="00684637">
      <w:pPr>
        <w:pStyle w:val="ICRHBNormal"/>
      </w:pPr>
    </w:p>
    <w:p w14:paraId="160B782D" w14:textId="77777777" w:rsidR="00AA11A9" w:rsidRPr="0032784D" w:rsidRDefault="00AA11A9">
      <w:pPr>
        <w:rPr>
          <w:rFonts w:eastAsia="MS Gothic" w:cs="Arial"/>
          <w:b/>
          <w:sz w:val="28"/>
          <w:szCs w:val="32"/>
          <w:lang w:val="en-GB"/>
        </w:rPr>
      </w:pPr>
      <w:bookmarkStart w:id="15" w:name="_Toc321316094"/>
      <w:bookmarkStart w:id="16" w:name="_Toc321329580"/>
      <w:bookmarkStart w:id="17" w:name="_Toc321330886"/>
      <w:bookmarkStart w:id="18" w:name="_Toc321331488"/>
      <w:bookmarkStart w:id="19" w:name="_Toc322264303"/>
      <w:bookmarkStart w:id="20" w:name="_Toc322270205"/>
      <w:r w:rsidRPr="003A24FF">
        <w:rPr>
          <w:rFonts w:eastAsia="MS Gothic" w:cs="Arial"/>
          <w:b/>
          <w:sz w:val="28"/>
          <w:szCs w:val="32"/>
          <w:lang w:val="en-US"/>
        </w:rPr>
        <w:br w:type="page"/>
      </w:r>
    </w:p>
    <w:p w14:paraId="510E2506" w14:textId="77777777" w:rsidR="00163877" w:rsidRPr="00DB4781" w:rsidRDefault="002F37F8" w:rsidP="000E7135">
      <w:pPr>
        <w:pStyle w:val="ICRHBNormal"/>
        <w:spacing w:before="360" w:after="240"/>
        <w:rPr>
          <w:rFonts w:eastAsia="MS Gothic" w:cs="Arial"/>
          <w:b/>
          <w:color w:val="4F81BD" w:themeColor="accent1"/>
          <w:sz w:val="28"/>
          <w:szCs w:val="32"/>
        </w:rPr>
      </w:pPr>
      <w:r w:rsidRPr="00DB4781">
        <w:rPr>
          <w:rFonts w:eastAsia="MS Gothic" w:cs="Arial"/>
          <w:b/>
          <w:color w:val="4F81BD" w:themeColor="accent1"/>
          <w:sz w:val="28"/>
          <w:szCs w:val="32"/>
        </w:rPr>
        <w:lastRenderedPageBreak/>
        <w:t xml:space="preserve">Table of </w:t>
      </w:r>
      <w:r w:rsidR="00B44D9D" w:rsidRPr="00DB4781">
        <w:rPr>
          <w:rFonts w:eastAsia="MS Gothic" w:cs="Arial"/>
          <w:b/>
          <w:color w:val="4F81BD" w:themeColor="accent1"/>
          <w:sz w:val="28"/>
          <w:szCs w:val="32"/>
        </w:rPr>
        <w:t>Contents</w:t>
      </w:r>
      <w:bookmarkEnd w:id="15"/>
      <w:bookmarkEnd w:id="16"/>
      <w:bookmarkEnd w:id="17"/>
      <w:bookmarkEnd w:id="18"/>
      <w:bookmarkEnd w:id="19"/>
      <w:bookmarkEnd w:id="20"/>
    </w:p>
    <w:p w14:paraId="7A9209E5" w14:textId="0E49CE9E" w:rsidR="00191926" w:rsidRPr="00191926" w:rsidRDefault="00B5412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lang w:eastAsia="pt-PT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</w:instrText>
      </w:r>
      <w:r>
        <w:rPr>
          <w:b w:val="0"/>
        </w:rPr>
        <w:fldChar w:fldCharType="separate"/>
      </w:r>
      <w:r w:rsidR="00191926">
        <w:rPr>
          <w:noProof/>
        </w:rPr>
        <w:t>Complaints and Appeals</w:t>
      </w:r>
      <w:r w:rsidR="00191926">
        <w:rPr>
          <w:noProof/>
        </w:rPr>
        <w:tab/>
      </w:r>
      <w:r w:rsidR="00191926">
        <w:rPr>
          <w:noProof/>
        </w:rPr>
        <w:fldChar w:fldCharType="begin"/>
      </w:r>
      <w:r w:rsidR="00191926">
        <w:rPr>
          <w:noProof/>
        </w:rPr>
        <w:instrText xml:space="preserve"> PAGEREF _Toc466150002 \h </w:instrText>
      </w:r>
      <w:r w:rsidR="00191926">
        <w:rPr>
          <w:noProof/>
        </w:rPr>
      </w:r>
      <w:r w:rsidR="00191926">
        <w:rPr>
          <w:noProof/>
        </w:rPr>
        <w:fldChar w:fldCharType="separate"/>
      </w:r>
      <w:r w:rsidR="00191926">
        <w:rPr>
          <w:noProof/>
        </w:rPr>
        <w:t>1</w:t>
      </w:r>
      <w:r w:rsidR="00191926">
        <w:rPr>
          <w:noProof/>
        </w:rPr>
        <w:fldChar w:fldCharType="end"/>
      </w:r>
    </w:p>
    <w:p w14:paraId="4F928B14" w14:textId="40816346" w:rsidR="00191926" w:rsidRPr="00191926" w:rsidRDefault="00191926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lang w:eastAsia="pt-PT"/>
        </w:rPr>
      </w:pPr>
      <w:r>
        <w:rPr>
          <w:noProof/>
        </w:rPr>
        <w:t>1</w:t>
      </w:r>
      <w:r w:rsidRPr="00191926">
        <w:rPr>
          <w:rFonts w:asciiTheme="minorHAnsi" w:eastAsiaTheme="minorEastAsia" w:hAnsiTheme="minorHAnsi" w:cstheme="minorBidi"/>
          <w:b w:val="0"/>
          <w:noProof/>
          <w:sz w:val="22"/>
          <w:lang w:eastAsia="pt-PT"/>
        </w:rPr>
        <w:tab/>
      </w: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_Toc466150003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3EE65E4" w14:textId="35162795" w:rsidR="00191926" w:rsidRPr="00191926" w:rsidRDefault="00191926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lang w:eastAsia="pt-PT"/>
        </w:rPr>
      </w:pPr>
      <w:r>
        <w:rPr>
          <w:noProof/>
        </w:rPr>
        <w:t>2</w:t>
      </w:r>
      <w:r w:rsidRPr="00191926">
        <w:rPr>
          <w:rFonts w:asciiTheme="minorHAnsi" w:eastAsiaTheme="minorEastAsia" w:hAnsiTheme="minorHAnsi" w:cstheme="minorBidi"/>
          <w:b w:val="0"/>
          <w:noProof/>
          <w:sz w:val="22"/>
          <w:lang w:eastAsia="pt-PT"/>
        </w:rPr>
        <w:tab/>
      </w:r>
      <w:r>
        <w:rPr>
          <w:noProof/>
        </w:rPr>
        <w:t>Appeal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_Toc466150004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C7BDB0" w14:textId="59E343A6" w:rsidR="00191926" w:rsidRPr="00466212" w:rsidRDefault="00191926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lang w:eastAsia="pt-PT"/>
        </w:rPr>
      </w:pPr>
      <w:r>
        <w:rPr>
          <w:noProof/>
        </w:rPr>
        <w:t>3</w:t>
      </w:r>
      <w:r w:rsidRPr="00466212">
        <w:rPr>
          <w:rFonts w:asciiTheme="minorHAnsi" w:eastAsiaTheme="minorEastAsia" w:hAnsiTheme="minorHAnsi" w:cstheme="minorBidi"/>
          <w:b w:val="0"/>
          <w:noProof/>
          <w:sz w:val="22"/>
          <w:lang w:eastAsia="pt-PT"/>
        </w:rPr>
        <w:tab/>
      </w:r>
      <w:r>
        <w:rPr>
          <w:noProof/>
        </w:rPr>
        <w:t>Complain</w:t>
      </w:r>
      <w:r w:rsidR="005177CB">
        <w:rPr>
          <w:noProof/>
        </w:rPr>
        <w:t>t</w:t>
      </w:r>
      <w:r>
        <w:rPr>
          <w:noProof/>
        </w:rPr>
        <w:tab/>
      </w:r>
      <w:r w:rsidR="005177CB">
        <w:rPr>
          <w:noProof/>
        </w:rPr>
        <w:t>5</w:t>
      </w:r>
    </w:p>
    <w:p w14:paraId="1FFCE062" w14:textId="3A416A26" w:rsidR="00472EB8" w:rsidRPr="000F4A07" w:rsidRDefault="00B5412F" w:rsidP="00472EB8">
      <w:pPr>
        <w:rPr>
          <w:b/>
          <w:lang w:val="en-US"/>
        </w:rPr>
      </w:pPr>
      <w:r>
        <w:rPr>
          <w:b/>
        </w:rPr>
        <w:fldChar w:fldCharType="end"/>
      </w:r>
    </w:p>
    <w:p w14:paraId="10AD5054" w14:textId="77777777" w:rsidR="00CE37F8" w:rsidRPr="000F4A07" w:rsidRDefault="00CE37F8" w:rsidP="00472EB8">
      <w:pPr>
        <w:rPr>
          <w:b/>
          <w:lang w:val="en-US"/>
        </w:rPr>
      </w:pPr>
    </w:p>
    <w:p w14:paraId="4A45ED60" w14:textId="5CB61893" w:rsidR="00CE37F8" w:rsidRDefault="00CE37F8" w:rsidP="00472EB8">
      <w:pPr>
        <w:rPr>
          <w:lang w:val="en-GB"/>
        </w:rPr>
      </w:pPr>
      <w:r>
        <w:rPr>
          <w:b/>
          <w:lang w:val="en-GB"/>
        </w:rPr>
        <w:t>A</w:t>
      </w:r>
      <w:r w:rsidRPr="00CE37F8">
        <w:rPr>
          <w:b/>
          <w:lang w:val="en-GB"/>
        </w:rPr>
        <w:t>t</w:t>
      </w:r>
      <w:r>
        <w:rPr>
          <w:b/>
          <w:lang w:val="en-GB"/>
        </w:rPr>
        <w:t>t</w:t>
      </w:r>
      <w:r w:rsidRPr="00CE37F8">
        <w:rPr>
          <w:b/>
          <w:lang w:val="en-GB"/>
        </w:rPr>
        <w:t>achment</w:t>
      </w:r>
      <w:r>
        <w:rPr>
          <w:b/>
          <w:lang w:val="en-GB"/>
        </w:rPr>
        <w:t>s</w:t>
      </w:r>
      <w:r w:rsidRPr="00CE37F8">
        <w:rPr>
          <w:lang w:val="en-GB"/>
        </w:rPr>
        <w:t>: (to be used with th</w:t>
      </w:r>
      <w:r w:rsidR="000F4A07">
        <w:rPr>
          <w:lang w:val="en-GB"/>
        </w:rPr>
        <w:t>e current</w:t>
      </w:r>
      <w:r w:rsidRPr="00CE37F8">
        <w:rPr>
          <w:lang w:val="en-GB"/>
        </w:rPr>
        <w:t xml:space="preserve"> </w:t>
      </w:r>
      <w:r w:rsidR="000F4A07">
        <w:rPr>
          <w:lang w:val="en-GB"/>
        </w:rPr>
        <w:t>G</w:t>
      </w:r>
      <w:r w:rsidRPr="00CE37F8">
        <w:rPr>
          <w:lang w:val="en-GB"/>
        </w:rPr>
        <w:t>uide)</w:t>
      </w:r>
    </w:p>
    <w:p w14:paraId="317B11C6" w14:textId="33C4E944" w:rsidR="00CE37F8" w:rsidRDefault="00FC6386" w:rsidP="00CE37F8">
      <w:pPr>
        <w:pStyle w:val="ListParagraph"/>
        <w:numPr>
          <w:ilvl w:val="0"/>
          <w:numId w:val="29"/>
        </w:numPr>
        <w:rPr>
          <w:lang w:val="en-GB"/>
        </w:rPr>
      </w:pPr>
      <w:r>
        <w:rPr>
          <w:lang w:val="en-GB"/>
        </w:rPr>
        <w:t>Appeal form</w:t>
      </w:r>
    </w:p>
    <w:p w14:paraId="2435A9AA" w14:textId="4073AA2F" w:rsidR="00317276" w:rsidRPr="00FC1588" w:rsidRDefault="00317276" w:rsidP="00CE37F8">
      <w:pPr>
        <w:pStyle w:val="ListParagraph"/>
        <w:numPr>
          <w:ilvl w:val="0"/>
          <w:numId w:val="29"/>
        </w:numPr>
        <w:rPr>
          <w:lang w:val="en-GB"/>
        </w:rPr>
      </w:pPr>
      <w:r>
        <w:rPr>
          <w:lang w:val="en-GB"/>
        </w:rPr>
        <w:t>Complain</w:t>
      </w:r>
      <w:r w:rsidR="00114456">
        <w:rPr>
          <w:lang w:val="en-GB"/>
        </w:rPr>
        <w:t>t</w:t>
      </w:r>
      <w:r>
        <w:rPr>
          <w:lang w:val="en-GB"/>
        </w:rPr>
        <w:t xml:space="preserve"> form</w:t>
      </w:r>
    </w:p>
    <w:p w14:paraId="3B8BFD6D" w14:textId="38465CF0" w:rsidR="00AA11A9" w:rsidRDefault="00AA11A9" w:rsidP="000E7135">
      <w:pPr>
        <w:pStyle w:val="ICRHBNormal"/>
        <w:rPr>
          <w:rFonts w:eastAsia="MS Gothic" w:cs="Arial"/>
          <w:b/>
          <w:sz w:val="28"/>
          <w:szCs w:val="32"/>
        </w:rPr>
      </w:pPr>
      <w:r w:rsidRPr="0032784D">
        <w:rPr>
          <w:rFonts w:eastAsia="MS Gothic" w:cs="Arial"/>
          <w:b/>
          <w:sz w:val="28"/>
          <w:szCs w:val="32"/>
        </w:rPr>
        <w:br w:type="page"/>
      </w:r>
    </w:p>
    <w:p w14:paraId="7F849D75" w14:textId="790E6505" w:rsidR="00ED447F" w:rsidRPr="0032784D" w:rsidRDefault="00ED447F" w:rsidP="000E7135">
      <w:pPr>
        <w:pStyle w:val="ICRHBNormal"/>
        <w:rPr>
          <w:rFonts w:eastAsia="MS Gothic" w:cs="Arial"/>
          <w:b/>
          <w:sz w:val="28"/>
          <w:szCs w:val="32"/>
        </w:rPr>
      </w:pPr>
    </w:p>
    <w:p w14:paraId="04862208" w14:textId="05005604" w:rsidR="00E910F8" w:rsidRPr="00DA61A1" w:rsidRDefault="00126484" w:rsidP="00456374">
      <w:pPr>
        <w:pStyle w:val="ICRHBSectionHeader"/>
      </w:pPr>
      <w:bookmarkStart w:id="21" w:name="_Toc466150003"/>
      <w:bookmarkStart w:id="22" w:name="_Toc447403547"/>
      <w:bookmarkStart w:id="23" w:name="_Toc322270207"/>
      <w:r>
        <w:t>Purpose</w:t>
      </w:r>
      <w:bookmarkEnd w:id="21"/>
      <w:r>
        <w:t xml:space="preserve"> </w:t>
      </w:r>
    </w:p>
    <w:p w14:paraId="0DC1F13B" w14:textId="49F944D0" w:rsidR="00FC6386" w:rsidRPr="00CE1AED" w:rsidRDefault="000219F9" w:rsidP="00CE1AED">
      <w:pPr>
        <w:pStyle w:val="ICRHBNormal"/>
      </w:pPr>
      <w:r>
        <w:t>Th</w:t>
      </w:r>
      <w:r w:rsidR="000F4A07">
        <w:t xml:space="preserve">e current </w:t>
      </w:r>
      <w:r>
        <w:t>guideline help</w:t>
      </w:r>
      <w:r w:rsidR="000F4A07">
        <w:t>s</w:t>
      </w:r>
      <w:r>
        <w:t xml:space="preserve"> </w:t>
      </w:r>
      <w:r w:rsidR="00FC6386">
        <w:t>CBs</w:t>
      </w:r>
      <w:r>
        <w:t xml:space="preserve"> to </w:t>
      </w:r>
      <w:r w:rsidR="00CE1AED" w:rsidRPr="00CE1AED">
        <w:t xml:space="preserve">establish and publish its </w:t>
      </w:r>
      <w:r w:rsidR="00FB2741">
        <w:t xml:space="preserve">formal </w:t>
      </w:r>
      <w:r w:rsidR="00CE1AED" w:rsidRPr="00CE1AED">
        <w:t>process to deal with complaints and appeals in a fair, impartial, confidential and constructive manner.</w:t>
      </w:r>
      <w:r w:rsidR="00CE1AED">
        <w:t xml:space="preserve"> </w:t>
      </w:r>
      <w:r w:rsidR="00FC6386" w:rsidRPr="00CE1AED">
        <w:t>The process shall ensure that all complaints and appeals are h</w:t>
      </w:r>
      <w:r w:rsidR="00BB4B3A">
        <w:t xml:space="preserve">andled and processed within a </w:t>
      </w:r>
      <w:r w:rsidR="00317276">
        <w:t>3-month</w:t>
      </w:r>
      <w:r w:rsidR="00FC6386" w:rsidRPr="00CE1AED">
        <w:t xml:space="preserve"> period from the date of receipt of a written complaint or appeal. The process shall also comply with all the provisions of section </w:t>
      </w:r>
      <w:r w:rsidR="00CE1AED">
        <w:t>9</w:t>
      </w:r>
      <w:r w:rsidR="00D30BFD">
        <w:t>.</w:t>
      </w:r>
      <w:r w:rsidR="00CE1AED">
        <w:t>6 of the IPMA ICR 4.01.</w:t>
      </w:r>
    </w:p>
    <w:p w14:paraId="40D10037" w14:textId="7820C942" w:rsidR="004B1C1F" w:rsidRDefault="00CE1AED" w:rsidP="00D90E98">
      <w:pPr>
        <w:pStyle w:val="ICRHBSectionHeader"/>
      </w:pPr>
      <w:bookmarkStart w:id="24" w:name="_Toc466150004"/>
      <w:r>
        <w:t>Appeal</w:t>
      </w:r>
      <w:bookmarkEnd w:id="24"/>
    </w:p>
    <w:p w14:paraId="026304BA" w14:textId="43F21BF3" w:rsidR="00D34BF1" w:rsidRDefault="00D34BF1" w:rsidP="00D30BFD">
      <w:pPr>
        <w:pStyle w:val="ICRHBNormal"/>
      </w:pPr>
      <w:r w:rsidRPr="00D34BF1">
        <w:rPr>
          <w:b/>
        </w:rPr>
        <w:t>Definition:</w:t>
      </w:r>
      <w:r>
        <w:t xml:space="preserve"> </w:t>
      </w:r>
      <w:r w:rsidR="00CE1AED">
        <w:t>Appeal is a formal request for reconsiderations or review of a decision made by a CB</w:t>
      </w:r>
      <w:r w:rsidR="00F44E4F">
        <w:t xml:space="preserve">. </w:t>
      </w:r>
    </w:p>
    <w:p w14:paraId="3B90DE6F" w14:textId="77777777" w:rsidR="00BB4B3A" w:rsidRDefault="002166F1" w:rsidP="00D30BFD">
      <w:pPr>
        <w:pStyle w:val="ICRHBNormal"/>
      </w:pPr>
      <w:r>
        <w:rPr>
          <w:b/>
        </w:rPr>
        <w:t>Who can appeal:</w:t>
      </w:r>
      <w:r>
        <w:t xml:space="preserve"> </w:t>
      </w:r>
    </w:p>
    <w:p w14:paraId="73687582" w14:textId="0E6FF4E4" w:rsidR="00BB4B3A" w:rsidRDefault="002166F1" w:rsidP="00D30BFD">
      <w:pPr>
        <w:pStyle w:val="ICRHBNormal"/>
        <w:numPr>
          <w:ilvl w:val="0"/>
          <w:numId w:val="36"/>
        </w:numPr>
      </w:pPr>
      <w:r>
        <w:t xml:space="preserve">An </w:t>
      </w:r>
      <w:r w:rsidRPr="00FB2741">
        <w:t>Applicant</w:t>
      </w:r>
      <w:r w:rsidR="00BB4B3A">
        <w:t>,</w:t>
      </w:r>
      <w:r w:rsidRPr="00FB2741">
        <w:t xml:space="preserve"> </w:t>
      </w:r>
      <w:r w:rsidR="00CE1A43">
        <w:t xml:space="preserve">if his or </w:t>
      </w:r>
      <w:r w:rsidR="00BB4B3A">
        <w:t>he</w:t>
      </w:r>
      <w:r w:rsidR="00CE1A43">
        <w:t>r</w:t>
      </w:r>
      <w:r w:rsidR="00BB4B3A">
        <w:t xml:space="preserve"> application was not accepted;</w:t>
      </w:r>
    </w:p>
    <w:p w14:paraId="3BEBC36E" w14:textId="01124C10" w:rsidR="00CE1A43" w:rsidRPr="00CE1A43" w:rsidRDefault="00BB4B3A" w:rsidP="00D30B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D30BFD">
        <w:rPr>
          <w:lang w:val="en-US"/>
        </w:rPr>
        <w:t xml:space="preserve">A Candidate, if he or she </w:t>
      </w:r>
      <w:r w:rsidR="00D30BFD">
        <w:rPr>
          <w:lang w:val="en-US"/>
        </w:rPr>
        <w:t>has</w:t>
      </w:r>
      <w:r w:rsidR="00CE1A43" w:rsidRPr="00D30BFD">
        <w:rPr>
          <w:lang w:val="en-US"/>
        </w:rPr>
        <w:t xml:space="preserve">n’t </w:t>
      </w:r>
      <w:r w:rsidR="00CE1A43" w:rsidRPr="00CE1A43">
        <w:rPr>
          <w:lang w:val="en-GB"/>
        </w:rPr>
        <w:t xml:space="preserve">successfully completed one of the assessment steps or if, after completion of </w:t>
      </w:r>
      <w:r w:rsidR="00317276">
        <w:rPr>
          <w:lang w:val="en-GB"/>
        </w:rPr>
        <w:t>all</w:t>
      </w:r>
      <w:r w:rsidR="00CE1A43" w:rsidRPr="00CE1A43">
        <w:rPr>
          <w:lang w:val="en-GB"/>
        </w:rPr>
        <w:t xml:space="preserve"> assessment steps</w:t>
      </w:r>
      <w:r w:rsidR="00CE1A43">
        <w:rPr>
          <w:lang w:val="en-GB"/>
        </w:rPr>
        <w:t>,</w:t>
      </w:r>
      <w:r w:rsidR="00CE1A43" w:rsidRPr="00CE1A43">
        <w:rPr>
          <w:lang w:val="en-GB"/>
        </w:rPr>
        <w:t xml:space="preserve"> the CB decided not </w:t>
      </w:r>
      <w:r w:rsidR="00D30BFD">
        <w:rPr>
          <w:lang w:val="en-GB"/>
        </w:rPr>
        <w:t xml:space="preserve">to </w:t>
      </w:r>
      <w:r w:rsidR="00CE1A43" w:rsidRPr="00CE1A43">
        <w:rPr>
          <w:lang w:val="en-GB"/>
        </w:rPr>
        <w:t xml:space="preserve">award </w:t>
      </w:r>
      <w:r w:rsidR="00CE1A43">
        <w:rPr>
          <w:lang w:val="en-GB"/>
        </w:rPr>
        <w:t xml:space="preserve">with </w:t>
      </w:r>
      <w:r w:rsidR="00CE1A43" w:rsidRPr="00CE1A43">
        <w:rPr>
          <w:lang w:val="en-GB"/>
        </w:rPr>
        <w:t>an IPMA certificate.</w:t>
      </w:r>
      <w:r w:rsidR="008D78E3">
        <w:rPr>
          <w:lang w:val="en-GB"/>
        </w:rPr>
        <w:t xml:space="preserve"> No further evidence of competence shall be accepted as part of the appeal. </w:t>
      </w:r>
    </w:p>
    <w:p w14:paraId="7B21A17B" w14:textId="77777777" w:rsidR="00CE1A43" w:rsidRDefault="00CE1A43" w:rsidP="00D30B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 w:eastAsia="de-DE"/>
        </w:rPr>
      </w:pPr>
    </w:p>
    <w:p w14:paraId="6F62190C" w14:textId="14F97B3A" w:rsidR="002166F1" w:rsidRDefault="002166F1" w:rsidP="00D30BFD">
      <w:pPr>
        <w:pStyle w:val="ICRHBNormal"/>
      </w:pPr>
      <w:r w:rsidRPr="002166F1">
        <w:rPr>
          <w:b/>
        </w:rPr>
        <w:t>How to appeal:</w:t>
      </w:r>
      <w:r>
        <w:t xml:space="preserve"> The appeal shall be </w:t>
      </w:r>
      <w:proofErr w:type="gramStart"/>
      <w:r>
        <w:t>send</w:t>
      </w:r>
      <w:proofErr w:type="gramEnd"/>
      <w:r>
        <w:t xml:space="preserve"> to </w:t>
      </w:r>
      <w:r w:rsidR="007219A5">
        <w:t>cert@ipma.hr</w:t>
      </w:r>
      <w:r>
        <w:t xml:space="preserve"> using </w:t>
      </w:r>
      <w:proofErr w:type="spellStart"/>
      <w:r>
        <w:t>a</w:t>
      </w:r>
      <w:proofErr w:type="spellEnd"/>
      <w:r>
        <w:t xml:space="preserve"> </w:t>
      </w:r>
      <w:r w:rsidR="007219A5">
        <w:rPr>
          <w:i/>
        </w:rPr>
        <w:t>A</w:t>
      </w:r>
      <w:r w:rsidRPr="002166F1">
        <w:rPr>
          <w:i/>
        </w:rPr>
        <w:t>ppeal form</w:t>
      </w:r>
    </w:p>
    <w:p w14:paraId="399D998E" w14:textId="0E93BA08" w:rsidR="002166F1" w:rsidRDefault="002166F1" w:rsidP="00D30BFD">
      <w:pPr>
        <w:pStyle w:val="ICRHBNormal"/>
      </w:pPr>
      <w:r w:rsidRPr="002166F1">
        <w:rPr>
          <w:b/>
        </w:rPr>
        <w:t xml:space="preserve">When: </w:t>
      </w:r>
      <w:r w:rsidRPr="00FB2741">
        <w:t xml:space="preserve">Appeals must be submitted within 30 calendar days of the decision </w:t>
      </w:r>
      <w:r>
        <w:t>being appealed.</w:t>
      </w:r>
    </w:p>
    <w:p w14:paraId="545487AB" w14:textId="22C6F2A1" w:rsidR="00505DD1" w:rsidRDefault="00404CD7" w:rsidP="00D30BFD">
      <w:pPr>
        <w:pStyle w:val="ICRHBNormal"/>
      </w:pPr>
      <w:r w:rsidRPr="00404CD7">
        <w:rPr>
          <w:b/>
        </w:rPr>
        <w:t>Fees</w:t>
      </w:r>
      <w:r w:rsidR="00505DD1" w:rsidRPr="00404CD7">
        <w:rPr>
          <w:b/>
        </w:rPr>
        <w:t>:</w:t>
      </w:r>
      <w:r w:rsidR="00505DD1">
        <w:t xml:space="preserve"> </w:t>
      </w:r>
      <w:r w:rsidR="00505DD1" w:rsidRPr="00781B70">
        <w:t xml:space="preserve">CB may </w:t>
      </w:r>
      <w:r w:rsidR="00505DD1">
        <w:t xml:space="preserve">ask for appeal fees. In this case, those fees shall be explicit and communicated to applicants. Fees will be applicable after reception of a valid appeal and refunded to applicant or candidate if the </w:t>
      </w:r>
      <w:r>
        <w:t xml:space="preserve">appeal’s </w:t>
      </w:r>
      <w:r w:rsidR="00505DD1">
        <w:t xml:space="preserve">decision </w:t>
      </w:r>
      <w:r>
        <w:t>is favourable to the appellant.</w:t>
      </w:r>
    </w:p>
    <w:p w14:paraId="109C1566" w14:textId="6AE5E2B3" w:rsidR="002166F1" w:rsidRDefault="002166F1" w:rsidP="00CE37F8">
      <w:pPr>
        <w:pStyle w:val="ICRHBNormal"/>
      </w:pPr>
      <w:r w:rsidRPr="00D30BFD">
        <w:t xml:space="preserve">CB </w:t>
      </w:r>
      <w:r w:rsidR="00361B2B">
        <w:t>p</w:t>
      </w:r>
      <w:r w:rsidRPr="00D30BFD">
        <w:t xml:space="preserve">rocess steps and </w:t>
      </w:r>
      <w:r w:rsidR="00210801" w:rsidRPr="00D30BFD">
        <w:t>responsibilities</w:t>
      </w:r>
      <w:r w:rsidR="00D30BFD" w:rsidRPr="00D30BFD">
        <w:t xml:space="preserve"> are shown in the table below.</w:t>
      </w:r>
    </w:p>
    <w:p w14:paraId="496D3237" w14:textId="30B0286F" w:rsidR="00D30BFD" w:rsidRPr="00D30BFD" w:rsidRDefault="00D30BFD" w:rsidP="00D30BFD">
      <w:pPr>
        <w:pStyle w:val="ICRHBTableCaption"/>
        <w:jc w:val="left"/>
      </w:pPr>
      <w:r>
        <w:t xml:space="preserve">Table 1. CB </w:t>
      </w:r>
      <w:r w:rsidR="00361B2B">
        <w:t>p</w:t>
      </w:r>
      <w:r>
        <w:t>rocess steps</w:t>
      </w:r>
      <w:r w:rsidR="00361B2B">
        <w:t xml:space="preserve"> dealing with appeals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4797"/>
        <w:gridCol w:w="3061"/>
      </w:tblGrid>
      <w:tr w:rsidR="00D073EC" w14:paraId="32C71F6B" w14:textId="77777777" w:rsidTr="000A7267">
        <w:trPr>
          <w:trHeight w:val="355"/>
        </w:trPr>
        <w:tc>
          <w:tcPr>
            <w:tcW w:w="1781" w:type="dxa"/>
          </w:tcPr>
          <w:p w14:paraId="7A23AD0E" w14:textId="5A91143C" w:rsidR="00210801" w:rsidRPr="00317276" w:rsidRDefault="000A7267" w:rsidP="00317276">
            <w:pPr>
              <w:pStyle w:val="ICRHBTableHeader"/>
            </w:pPr>
            <w:r>
              <w:t>Responsibility</w:t>
            </w:r>
          </w:p>
        </w:tc>
        <w:tc>
          <w:tcPr>
            <w:tcW w:w="4953" w:type="dxa"/>
          </w:tcPr>
          <w:p w14:paraId="45B2DAB0" w14:textId="3443B72B" w:rsidR="00210801" w:rsidRPr="00317276" w:rsidRDefault="00D073EC" w:rsidP="00317276">
            <w:pPr>
              <w:pStyle w:val="ICRHBTableHeader"/>
            </w:pPr>
            <w:r>
              <w:t>Process steps</w:t>
            </w:r>
          </w:p>
        </w:tc>
        <w:tc>
          <w:tcPr>
            <w:tcW w:w="3120" w:type="dxa"/>
          </w:tcPr>
          <w:p w14:paraId="797C5B4A" w14:textId="441CFF8A" w:rsidR="00210801" w:rsidRPr="00317276" w:rsidRDefault="00CE1A43" w:rsidP="00317276">
            <w:pPr>
              <w:pStyle w:val="ICRHBTableHeader"/>
            </w:pPr>
            <w:r>
              <w:t>Results</w:t>
            </w:r>
          </w:p>
        </w:tc>
      </w:tr>
      <w:tr w:rsidR="00D073EC" w:rsidRPr="00D30BFD" w14:paraId="1EF8BE3B" w14:textId="77777777" w:rsidTr="000A7267">
        <w:trPr>
          <w:trHeight w:val="695"/>
        </w:trPr>
        <w:tc>
          <w:tcPr>
            <w:tcW w:w="1781" w:type="dxa"/>
          </w:tcPr>
          <w:p w14:paraId="37F862DC" w14:textId="16818043" w:rsidR="00D073EC" w:rsidRPr="00317276" w:rsidRDefault="00D073EC" w:rsidP="00317276">
            <w:pPr>
              <w:pStyle w:val="ICRHBTableText"/>
              <w:jc w:val="left"/>
            </w:pPr>
            <w:r w:rsidRPr="00317276">
              <w:t>Applicant or Candidate</w:t>
            </w:r>
          </w:p>
        </w:tc>
        <w:tc>
          <w:tcPr>
            <w:tcW w:w="4953" w:type="dxa"/>
          </w:tcPr>
          <w:p w14:paraId="4EF56CF6" w14:textId="5BC928A2" w:rsidR="00D073EC" w:rsidRPr="00317276" w:rsidRDefault="00D073EC" w:rsidP="00317276">
            <w:pPr>
              <w:pStyle w:val="ICRHBTableText"/>
              <w:jc w:val="left"/>
            </w:pPr>
            <w:r w:rsidRPr="00317276">
              <w:t>Submitted appeal of a CB decision within 30 calendar days of the decision being appealed.</w:t>
            </w:r>
          </w:p>
        </w:tc>
        <w:tc>
          <w:tcPr>
            <w:tcW w:w="3120" w:type="dxa"/>
          </w:tcPr>
          <w:p w14:paraId="3861E771" w14:textId="6D769715" w:rsidR="00D073EC" w:rsidRPr="00D073EC" w:rsidRDefault="00CE1A43" w:rsidP="00317276">
            <w:pPr>
              <w:pStyle w:val="ICRHBTableText"/>
              <w:jc w:val="left"/>
            </w:pPr>
            <w:r>
              <w:t xml:space="preserve">Appeal received by </w:t>
            </w:r>
            <w:r w:rsidR="00D073EC" w:rsidRPr="00781B70">
              <w:t>CB administration</w:t>
            </w:r>
          </w:p>
        </w:tc>
      </w:tr>
      <w:tr w:rsidR="00D073EC" w:rsidRPr="00D30BFD" w14:paraId="4BAB0139" w14:textId="77777777" w:rsidTr="00D073EC">
        <w:tc>
          <w:tcPr>
            <w:tcW w:w="1781" w:type="dxa"/>
          </w:tcPr>
          <w:p w14:paraId="1C0D1754" w14:textId="7EB6AC41" w:rsidR="00D073EC" w:rsidRPr="00317276" w:rsidRDefault="00D073EC" w:rsidP="004F5379">
            <w:pPr>
              <w:pStyle w:val="ICRHBTableText"/>
              <w:jc w:val="left"/>
            </w:pPr>
            <w:r w:rsidRPr="00317276">
              <w:t>CB administration</w:t>
            </w:r>
          </w:p>
        </w:tc>
        <w:tc>
          <w:tcPr>
            <w:tcW w:w="4953" w:type="dxa"/>
          </w:tcPr>
          <w:p w14:paraId="01D197BA" w14:textId="0D9A2D84" w:rsidR="00D073EC" w:rsidRPr="00317276" w:rsidRDefault="00D073EC" w:rsidP="004F5379">
            <w:pPr>
              <w:pStyle w:val="ICRHBTableText"/>
              <w:jc w:val="left"/>
            </w:pPr>
            <w:r w:rsidRPr="00317276">
              <w:t>Review the appeal validity</w:t>
            </w:r>
            <w:r w:rsidR="000A7267" w:rsidRPr="00317276">
              <w:t>:</w:t>
            </w:r>
          </w:p>
          <w:p w14:paraId="5A0E9281" w14:textId="38E773C1" w:rsidR="00D073EC" w:rsidRPr="00317276" w:rsidRDefault="00D073EC" w:rsidP="00D30BFD">
            <w:pPr>
              <w:pStyle w:val="ICRHBTableBullets"/>
            </w:pPr>
            <w:r w:rsidRPr="00317276">
              <w:t>If the appellant is an applicant or candidate</w:t>
            </w:r>
            <w:r w:rsidR="00317276">
              <w:t>;</w:t>
            </w:r>
          </w:p>
          <w:p w14:paraId="3B5ADEF8" w14:textId="68128EF1" w:rsidR="00D073EC" w:rsidRPr="00317276" w:rsidRDefault="00D073EC" w:rsidP="00D30BFD">
            <w:pPr>
              <w:pStyle w:val="ICRHBTableBullets"/>
            </w:pPr>
            <w:r w:rsidRPr="00317276">
              <w:t xml:space="preserve">If the decision referred in the appeal has been made in the last 30 </w:t>
            </w:r>
            <w:r w:rsidR="00CE1A43" w:rsidRPr="00317276">
              <w:t xml:space="preserve">calendar </w:t>
            </w:r>
            <w:r w:rsidRPr="00317276">
              <w:t>days</w:t>
            </w:r>
            <w:r w:rsidR="00317276">
              <w:t>;</w:t>
            </w:r>
          </w:p>
          <w:p w14:paraId="1D77E9B0" w14:textId="086D3510" w:rsidR="00CC7125" w:rsidRPr="00317276" w:rsidRDefault="00CC7125" w:rsidP="00D30BFD">
            <w:pPr>
              <w:pStyle w:val="ICRHBTableBullets"/>
            </w:pPr>
            <w:r w:rsidRPr="00317276">
              <w:t xml:space="preserve">If the &lt;appeal form&gt; is </w:t>
            </w:r>
            <w:r w:rsidR="00637C18">
              <w:t>correctly filled</w:t>
            </w:r>
            <w:r w:rsidRPr="00317276">
              <w:t xml:space="preserve"> </w:t>
            </w:r>
          </w:p>
          <w:p w14:paraId="1C640E63" w14:textId="77777777" w:rsidR="001F14A8" w:rsidRPr="00317276" w:rsidRDefault="00D073EC" w:rsidP="004F5379">
            <w:pPr>
              <w:pStyle w:val="ICRHBTableText"/>
              <w:jc w:val="left"/>
            </w:pPr>
            <w:r w:rsidRPr="00317276">
              <w:t xml:space="preserve">If one of be above </w:t>
            </w:r>
            <w:r w:rsidR="000A7267" w:rsidRPr="00317276">
              <w:t xml:space="preserve">clauses </w:t>
            </w:r>
            <w:r w:rsidRPr="00317276">
              <w:t>is not verified</w:t>
            </w:r>
            <w:r w:rsidR="00CE1A43" w:rsidRPr="00317276">
              <w:t>,</w:t>
            </w:r>
            <w:r w:rsidRPr="00317276">
              <w:t xml:space="preserve"> the appeal is not accepted. </w:t>
            </w:r>
          </w:p>
          <w:p w14:paraId="3365791C" w14:textId="3F7281C9" w:rsidR="001F14A8" w:rsidRPr="00317276" w:rsidRDefault="001F14A8" w:rsidP="004F5379">
            <w:pPr>
              <w:pStyle w:val="ICRHBTableText"/>
              <w:jc w:val="left"/>
            </w:pPr>
            <w:r w:rsidRPr="00317276">
              <w:t xml:space="preserve">CB administration shall: </w:t>
            </w:r>
          </w:p>
          <w:p w14:paraId="26E9C347" w14:textId="2947AF4A" w:rsidR="001F14A8" w:rsidRPr="00317276" w:rsidRDefault="001F14A8" w:rsidP="00D30BFD">
            <w:pPr>
              <w:pStyle w:val="ICRHBTableBullets"/>
            </w:pPr>
            <w:r w:rsidRPr="00317276">
              <w:t>Record the</w:t>
            </w:r>
            <w:r w:rsidR="00CC7125" w:rsidRPr="00317276">
              <w:t xml:space="preserve"> appeal (even the one</w:t>
            </w:r>
            <w:r w:rsidR="00505DD1" w:rsidRPr="00317276">
              <w:t>s</w:t>
            </w:r>
            <w:r w:rsidR="00CC7125" w:rsidRPr="00317276">
              <w:t xml:space="preserve"> not valid);</w:t>
            </w:r>
          </w:p>
          <w:p w14:paraId="6941AA89" w14:textId="51900652" w:rsidR="00CC7125" w:rsidRPr="00317276" w:rsidRDefault="00CC7125" w:rsidP="00D30BFD">
            <w:pPr>
              <w:pStyle w:val="ICRHBTableBullets"/>
            </w:pPr>
            <w:r w:rsidRPr="00317276">
              <w:t>Send a confirmation of receipt of a valid appeal or acknowledged explaining why the appeal in not valid;</w:t>
            </w:r>
          </w:p>
          <w:p w14:paraId="34F06CEF" w14:textId="6C2CD049" w:rsidR="00CC7125" w:rsidRPr="00317276" w:rsidRDefault="00CC7125" w:rsidP="00D30BFD">
            <w:pPr>
              <w:pStyle w:val="ICRHBTableBullets"/>
            </w:pPr>
            <w:r w:rsidRPr="00317276">
              <w:lastRenderedPageBreak/>
              <w:t>Send valid appeal to CB ‘Certification Manager’</w:t>
            </w:r>
            <w:r w:rsidR="00D2473E">
              <w:t>;</w:t>
            </w:r>
          </w:p>
          <w:p w14:paraId="3D44A19F" w14:textId="47D2C635" w:rsidR="00D073EC" w:rsidRPr="00317276" w:rsidRDefault="00404CD7" w:rsidP="00D30BFD">
            <w:pPr>
              <w:pStyle w:val="ICRHBTableBullets"/>
            </w:pPr>
            <w:r w:rsidRPr="00317276">
              <w:t xml:space="preserve">Invoice fees, if applicable </w:t>
            </w:r>
          </w:p>
        </w:tc>
        <w:tc>
          <w:tcPr>
            <w:tcW w:w="3120" w:type="dxa"/>
          </w:tcPr>
          <w:p w14:paraId="70DB57DA" w14:textId="77777777" w:rsidR="00CC7125" w:rsidRPr="00317276" w:rsidRDefault="00CC7125" w:rsidP="004F5379">
            <w:pPr>
              <w:pStyle w:val="ICRHBTableText"/>
              <w:jc w:val="left"/>
            </w:pPr>
            <w:r w:rsidRPr="00317276">
              <w:lastRenderedPageBreak/>
              <w:t>To the appellant:</w:t>
            </w:r>
          </w:p>
          <w:p w14:paraId="04C73B08" w14:textId="3A9E9567" w:rsidR="00CC7125" w:rsidRDefault="00505DD1" w:rsidP="00D30BFD">
            <w:pPr>
              <w:pStyle w:val="ICRHBTableBullets"/>
            </w:pPr>
            <w:r w:rsidRPr="00317276">
              <w:t>confirmation of receipt</w:t>
            </w:r>
          </w:p>
          <w:p w14:paraId="70D66935" w14:textId="2A7BE29C" w:rsidR="00317276" w:rsidRPr="00317276" w:rsidRDefault="00317276" w:rsidP="004F5379">
            <w:pPr>
              <w:pStyle w:val="ICRHBTableText"/>
              <w:jc w:val="left"/>
            </w:pPr>
            <w:r>
              <w:t>Or</w:t>
            </w:r>
          </w:p>
          <w:p w14:paraId="461A701F" w14:textId="56316BF8" w:rsidR="00CC7125" w:rsidRPr="00317276" w:rsidRDefault="00505DD1" w:rsidP="00D30BFD">
            <w:pPr>
              <w:pStyle w:val="ICRHBTableBullets"/>
            </w:pPr>
            <w:r w:rsidRPr="00317276">
              <w:t>n</w:t>
            </w:r>
            <w:r w:rsidR="00CC7125" w:rsidRPr="00317276">
              <w:t>on-acceptance explanation</w:t>
            </w:r>
          </w:p>
          <w:p w14:paraId="09A4418E" w14:textId="77777777" w:rsidR="00317276" w:rsidRDefault="00317276" w:rsidP="00317276">
            <w:pPr>
              <w:pStyle w:val="ICRHBNormal"/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  <w:p w14:paraId="07618E30" w14:textId="2179E449" w:rsidR="00D073EC" w:rsidRPr="00317276" w:rsidRDefault="00505DD1" w:rsidP="004F5379">
            <w:pPr>
              <w:pStyle w:val="ICRHBTableText"/>
              <w:jc w:val="left"/>
            </w:pPr>
            <w:r w:rsidRPr="00317276">
              <w:t xml:space="preserve">To </w:t>
            </w:r>
            <w:r w:rsidR="00D073EC" w:rsidRPr="00317276">
              <w:t>CB ‘Certification Manager’</w:t>
            </w:r>
            <w:r w:rsidR="00317276">
              <w:t xml:space="preserve"> with acknowledge to the Head of CB</w:t>
            </w:r>
            <w:r w:rsidRPr="00317276">
              <w:t>: &lt;appeal form&gt;</w:t>
            </w:r>
          </w:p>
          <w:p w14:paraId="0CF91BC5" w14:textId="70A0CC25" w:rsidR="00D073EC" w:rsidRPr="00317276" w:rsidRDefault="00D073EC" w:rsidP="00317276">
            <w:pPr>
              <w:pStyle w:val="ICRHBNormal"/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073EC" w:rsidRPr="00D30BFD" w14:paraId="6AEB7DD7" w14:textId="77777777" w:rsidTr="00D073EC">
        <w:tc>
          <w:tcPr>
            <w:tcW w:w="1781" w:type="dxa"/>
          </w:tcPr>
          <w:p w14:paraId="3D8F3D38" w14:textId="77777777" w:rsidR="00D073EC" w:rsidRPr="00317276" w:rsidRDefault="00D073EC" w:rsidP="004F5379">
            <w:pPr>
              <w:pStyle w:val="ICRHBTableText"/>
              <w:jc w:val="left"/>
            </w:pPr>
            <w:r w:rsidRPr="00317276">
              <w:t>CB ‘Certification Manager’</w:t>
            </w:r>
          </w:p>
          <w:p w14:paraId="7A5ACB6F" w14:textId="77777777" w:rsidR="00D073EC" w:rsidRPr="00317276" w:rsidRDefault="00D073EC" w:rsidP="004F5379">
            <w:pPr>
              <w:pStyle w:val="ICRHBTableText"/>
              <w:jc w:val="left"/>
            </w:pPr>
          </w:p>
        </w:tc>
        <w:tc>
          <w:tcPr>
            <w:tcW w:w="4953" w:type="dxa"/>
          </w:tcPr>
          <w:p w14:paraId="651C000C" w14:textId="28A3A074" w:rsidR="00886F00" w:rsidRPr="00317276" w:rsidRDefault="00886F00" w:rsidP="004F5379">
            <w:pPr>
              <w:pStyle w:val="ICRHBTableText"/>
              <w:jc w:val="left"/>
            </w:pPr>
            <w:r w:rsidRPr="00317276">
              <w:t>The CB ‘Certification Manager’ shall first try to resolve the appeal within its own operational management.</w:t>
            </w:r>
          </w:p>
          <w:p w14:paraId="5F856537" w14:textId="4A6E10D0" w:rsidR="00886F00" w:rsidRPr="00317276" w:rsidRDefault="00886F00" w:rsidP="004F5379">
            <w:pPr>
              <w:pStyle w:val="ICRHBTableText"/>
              <w:jc w:val="left"/>
            </w:pPr>
            <w:r w:rsidRPr="00317276">
              <w:t xml:space="preserve">In the first </w:t>
            </w:r>
            <w:r w:rsidR="00D2473E" w:rsidRPr="00317276">
              <w:t>instance,</w:t>
            </w:r>
            <w:r w:rsidRPr="00317276">
              <w:t xml:space="preserve"> it is proposed to the candidate a review of results between the applicant /candidate and the Lead Assessor of his/her certification process or step. If the applicant/candidate does not agree with the justifications, the appeal will be escalated to the </w:t>
            </w:r>
            <w:r w:rsidR="008D78E3">
              <w:t xml:space="preserve">Head of CB and </w:t>
            </w:r>
            <w:r w:rsidRPr="00317276">
              <w:t>CB Complaints and Appeals Committee for review and decision.</w:t>
            </w:r>
          </w:p>
          <w:p w14:paraId="083B5877" w14:textId="1AEFE1F9" w:rsidR="00D073EC" w:rsidRPr="00317276" w:rsidRDefault="00886F00" w:rsidP="004F5379">
            <w:pPr>
              <w:pStyle w:val="ICRHBTableText"/>
              <w:jc w:val="left"/>
            </w:pPr>
            <w:r w:rsidRPr="00317276">
              <w:t>CB ‘Certification Manager’ shall p</w:t>
            </w:r>
            <w:r w:rsidR="00D073EC" w:rsidRPr="00317276">
              <w:t>repare a package to “CB Complaints and Appeals Committee”. This package shall include all eviden</w:t>
            </w:r>
            <w:r w:rsidR="00505DD1" w:rsidRPr="00317276">
              <w:t>ces sup</w:t>
            </w:r>
            <w:r w:rsidR="00404CD7" w:rsidRPr="00317276">
              <w:t>porting the CB decision, including the list of assessors who provide evaluation / scoring</w:t>
            </w:r>
            <w:r w:rsidRPr="00317276">
              <w:t>.</w:t>
            </w:r>
          </w:p>
        </w:tc>
        <w:tc>
          <w:tcPr>
            <w:tcW w:w="3120" w:type="dxa"/>
          </w:tcPr>
          <w:p w14:paraId="7DA9AEBC" w14:textId="77777777" w:rsidR="00D073EC" w:rsidRPr="00317276" w:rsidRDefault="00404CD7" w:rsidP="004F5379">
            <w:pPr>
              <w:pStyle w:val="ICRHBTableText"/>
              <w:jc w:val="left"/>
            </w:pPr>
            <w:r w:rsidRPr="00317276">
              <w:t xml:space="preserve">Applicant pack to </w:t>
            </w:r>
            <w:r w:rsidR="00D073EC" w:rsidRPr="00317276">
              <w:t>CB Complaints and Appeals Committee</w:t>
            </w:r>
          </w:p>
          <w:p w14:paraId="3441D221" w14:textId="35ED1649" w:rsidR="00886F00" w:rsidRPr="00317276" w:rsidRDefault="00886F00" w:rsidP="004F5379">
            <w:pPr>
              <w:pStyle w:val="ICRHBTableText"/>
              <w:jc w:val="left"/>
            </w:pPr>
            <w:r w:rsidRPr="00317276">
              <w:t>Or</w:t>
            </w:r>
          </w:p>
          <w:p w14:paraId="67BD7983" w14:textId="6965EDA0" w:rsidR="00886F00" w:rsidRPr="00317276" w:rsidRDefault="002529FE" w:rsidP="004F5379">
            <w:pPr>
              <w:pStyle w:val="ICRHBTableText"/>
              <w:jc w:val="left"/>
            </w:pPr>
            <w:r w:rsidRPr="00317276">
              <w:t>CB administration with the resolution made in CB operational level</w:t>
            </w:r>
            <w:r w:rsidR="00816F72" w:rsidRPr="00317276">
              <w:t xml:space="preserve"> </w:t>
            </w:r>
          </w:p>
        </w:tc>
      </w:tr>
      <w:tr w:rsidR="00D073EC" w:rsidRPr="00D30BFD" w14:paraId="4A445B71" w14:textId="77777777" w:rsidTr="00D073EC">
        <w:tc>
          <w:tcPr>
            <w:tcW w:w="1781" w:type="dxa"/>
          </w:tcPr>
          <w:p w14:paraId="6747867B" w14:textId="6BE74420" w:rsidR="00D073EC" w:rsidRPr="00317276" w:rsidRDefault="00D073EC" w:rsidP="004F5379">
            <w:pPr>
              <w:pStyle w:val="ICRHBTableText"/>
              <w:jc w:val="left"/>
            </w:pPr>
            <w:r w:rsidRPr="00317276">
              <w:t>CB Complaints and Appeals Committee</w:t>
            </w:r>
          </w:p>
        </w:tc>
        <w:tc>
          <w:tcPr>
            <w:tcW w:w="4953" w:type="dxa"/>
          </w:tcPr>
          <w:p w14:paraId="68C2D1CD" w14:textId="1E512E5A" w:rsidR="00D073EC" w:rsidRPr="00317276" w:rsidRDefault="00D073EC" w:rsidP="004F5379">
            <w:pPr>
              <w:pStyle w:val="ICRHBTableText"/>
              <w:jc w:val="left"/>
            </w:pPr>
            <w:r w:rsidRPr="00317276">
              <w:t>The members of the Complaints and Appeals committee shall be appointed by the CB’s strategic management and shall not have been involved in the appeal that is being made.</w:t>
            </w:r>
          </w:p>
          <w:p w14:paraId="4C04635F" w14:textId="07334335" w:rsidR="008D78E3" w:rsidRPr="00317276" w:rsidRDefault="002529FE" w:rsidP="004F5379">
            <w:pPr>
              <w:pStyle w:val="ICRHBTableText"/>
              <w:jc w:val="left"/>
            </w:pPr>
            <w:r w:rsidRPr="00317276">
              <w:t>CB Complaints and Appeals Committee shall r</w:t>
            </w:r>
            <w:r w:rsidR="00D073EC" w:rsidRPr="00317276">
              <w:t xml:space="preserve">eview if documented policies and procedures of CB were </w:t>
            </w:r>
            <w:r w:rsidRPr="00317276">
              <w:t>followed and if the assessment of the appellant’s competence has been done based on a fair and impartial assessment.</w:t>
            </w:r>
          </w:p>
          <w:p w14:paraId="5FAEAB65" w14:textId="5E375297" w:rsidR="002529FE" w:rsidRPr="00317276" w:rsidRDefault="00E024E8" w:rsidP="004F5379">
            <w:pPr>
              <w:pStyle w:val="ICRHBTableText"/>
              <w:jc w:val="left"/>
            </w:pPr>
            <w:r w:rsidRPr="00317276">
              <w:t xml:space="preserve">Appeal results shall be send to appellant. </w:t>
            </w:r>
          </w:p>
          <w:p w14:paraId="259BF874" w14:textId="6F00C44B" w:rsidR="00E024E8" w:rsidRPr="00317276" w:rsidRDefault="00E024E8" w:rsidP="004F5379">
            <w:pPr>
              <w:pStyle w:val="ICRHBTableText"/>
              <w:jc w:val="left"/>
            </w:pPr>
            <w:r w:rsidRPr="00317276">
              <w:t>If the appeal leads to discover a failure in CB assessment process, the CB shall inform IPMA of any Adverse Effect and take all reasonable steps to:</w:t>
            </w:r>
          </w:p>
          <w:p w14:paraId="6B972E4A" w14:textId="4C3482AA" w:rsidR="00E024E8" w:rsidRPr="00317276" w:rsidRDefault="00E024E8" w:rsidP="00D30BFD">
            <w:pPr>
              <w:pStyle w:val="ICRHBTableBullets"/>
            </w:pPr>
            <w:r w:rsidRPr="00317276">
              <w:t>identify any other Candidate who has been affected by the failure;</w:t>
            </w:r>
          </w:p>
          <w:p w14:paraId="21D7B6E9" w14:textId="336149DA" w:rsidR="00E024E8" w:rsidRPr="00317276" w:rsidRDefault="00E024E8" w:rsidP="00D30BFD">
            <w:pPr>
              <w:pStyle w:val="ICRHBTableBullets"/>
            </w:pPr>
            <w:r w:rsidRPr="00317276">
              <w:t>correct or, where it cannot be corrected, mitigate as far as possible both Adverse and other effects of the failure; and</w:t>
            </w:r>
          </w:p>
          <w:p w14:paraId="3DFF13BF" w14:textId="58A854B1" w:rsidR="002529FE" w:rsidRPr="00317276" w:rsidRDefault="00E024E8" w:rsidP="00D30BFD">
            <w:pPr>
              <w:pStyle w:val="ICRHBTableBullets"/>
            </w:pPr>
            <w:r w:rsidRPr="00317276">
              <w:t>ensure that the failure does not recur in the future.</w:t>
            </w:r>
          </w:p>
        </w:tc>
        <w:tc>
          <w:tcPr>
            <w:tcW w:w="3120" w:type="dxa"/>
          </w:tcPr>
          <w:p w14:paraId="75B622FB" w14:textId="77777777" w:rsidR="00E024E8" w:rsidRPr="00317276" w:rsidRDefault="00E024E8" w:rsidP="004F5379">
            <w:pPr>
              <w:pStyle w:val="ICRHBTableText"/>
              <w:jc w:val="left"/>
            </w:pPr>
            <w:r w:rsidRPr="00317276">
              <w:t>To the appellant:</w:t>
            </w:r>
          </w:p>
          <w:p w14:paraId="6768E207" w14:textId="4E339635" w:rsidR="00E024E8" w:rsidRPr="00317276" w:rsidRDefault="00E024E8" w:rsidP="00D30BFD">
            <w:pPr>
              <w:pStyle w:val="ICRHBTableBullets"/>
            </w:pPr>
            <w:r w:rsidRPr="00317276">
              <w:t>Appeal result</w:t>
            </w:r>
          </w:p>
          <w:p w14:paraId="2C164F04" w14:textId="727287CF" w:rsidR="00E024E8" w:rsidRPr="00317276" w:rsidRDefault="00E024E8" w:rsidP="004F5379">
            <w:pPr>
              <w:pStyle w:val="ICRHBTableText"/>
              <w:jc w:val="left"/>
            </w:pPr>
            <w:r w:rsidRPr="00317276">
              <w:t>To CB administration</w:t>
            </w:r>
          </w:p>
          <w:p w14:paraId="2ED10384" w14:textId="62AE6154" w:rsidR="00E024E8" w:rsidRPr="00317276" w:rsidRDefault="00E024E8" w:rsidP="00D30BFD">
            <w:pPr>
              <w:pStyle w:val="ICRHBTableBullets"/>
            </w:pPr>
            <w:r w:rsidRPr="00317276">
              <w:t>Appeal result copy</w:t>
            </w:r>
          </w:p>
          <w:p w14:paraId="56D8C64E" w14:textId="4B417BD5" w:rsidR="00E024E8" w:rsidRPr="00317276" w:rsidRDefault="00E024E8" w:rsidP="00D30BFD">
            <w:pPr>
              <w:pStyle w:val="ICRHBTableBullets"/>
            </w:pPr>
            <w:r w:rsidRPr="00317276">
              <w:t>Decision to refund fees (if applicable)</w:t>
            </w:r>
          </w:p>
          <w:p w14:paraId="5A5D8631" w14:textId="0D182A23" w:rsidR="00E024E8" w:rsidRPr="00317276" w:rsidRDefault="00E024E8" w:rsidP="004F5379">
            <w:pPr>
              <w:pStyle w:val="ICRHBTableText"/>
              <w:jc w:val="left"/>
            </w:pPr>
            <w:r w:rsidRPr="00317276">
              <w:t xml:space="preserve">CB ‘Certification Manager’ </w:t>
            </w:r>
          </w:p>
          <w:p w14:paraId="73153B15" w14:textId="00B0B1FF" w:rsidR="00E024E8" w:rsidRDefault="00E024E8" w:rsidP="00D30BFD">
            <w:pPr>
              <w:pStyle w:val="ICRHBTableBullets"/>
            </w:pPr>
            <w:r w:rsidRPr="00317276">
              <w:t>Any improvement or corrective action</w:t>
            </w:r>
          </w:p>
          <w:p w14:paraId="15A93039" w14:textId="0DCA95CB" w:rsidR="008D78E3" w:rsidRPr="00317276" w:rsidRDefault="00637C18" w:rsidP="004F5379">
            <w:pPr>
              <w:pStyle w:val="ICRHBTableText"/>
              <w:jc w:val="left"/>
            </w:pPr>
            <w:r>
              <w:t>If required</w:t>
            </w:r>
            <w:r w:rsidR="008D78E3">
              <w:t>, inform IPMA (CVMB)</w:t>
            </w:r>
          </w:p>
          <w:p w14:paraId="7DA551E9" w14:textId="77777777" w:rsidR="00D073EC" w:rsidRPr="00317276" w:rsidRDefault="00D073EC" w:rsidP="00E024E8">
            <w:pPr>
              <w:pStyle w:val="ICRHBNormal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024E8" w:rsidRPr="00D30BFD" w14:paraId="6F5EE084" w14:textId="77777777" w:rsidTr="00D073EC">
        <w:tc>
          <w:tcPr>
            <w:tcW w:w="1781" w:type="dxa"/>
          </w:tcPr>
          <w:p w14:paraId="1C828D14" w14:textId="17AF361C" w:rsidR="00E024E8" w:rsidRPr="00317276" w:rsidRDefault="00E024E8" w:rsidP="004F5379">
            <w:pPr>
              <w:pStyle w:val="ICRHBTableText"/>
              <w:jc w:val="left"/>
            </w:pPr>
            <w:r w:rsidRPr="00317276">
              <w:t>CB administration</w:t>
            </w:r>
          </w:p>
        </w:tc>
        <w:tc>
          <w:tcPr>
            <w:tcW w:w="4953" w:type="dxa"/>
          </w:tcPr>
          <w:p w14:paraId="776F849C" w14:textId="2144BD29" w:rsidR="00ED5888" w:rsidRPr="00317276" w:rsidRDefault="00E024E8" w:rsidP="004F5379">
            <w:pPr>
              <w:pStyle w:val="ICRHBTableText"/>
              <w:jc w:val="left"/>
            </w:pPr>
            <w:r w:rsidRPr="00317276">
              <w:t>All appeal results shall be record</w:t>
            </w:r>
            <w:r w:rsidR="00637C18">
              <w:t>ed</w:t>
            </w:r>
            <w:r w:rsidR="00361B2B">
              <w:t>.</w:t>
            </w:r>
          </w:p>
          <w:p w14:paraId="58484894" w14:textId="6B82A048" w:rsidR="00ED5888" w:rsidRPr="00317276" w:rsidRDefault="00ED5888" w:rsidP="004F5379">
            <w:pPr>
              <w:pStyle w:val="ICRHBTableText"/>
              <w:jc w:val="left"/>
            </w:pPr>
            <w:r w:rsidRPr="00317276">
              <w:t>If applicable, fees shall be refunded</w:t>
            </w:r>
            <w:r w:rsidR="00361B2B">
              <w:t>.</w:t>
            </w:r>
          </w:p>
          <w:p w14:paraId="79EFF362" w14:textId="4CDC1DCA" w:rsidR="00816F72" w:rsidRDefault="00114456" w:rsidP="004F5379">
            <w:pPr>
              <w:pStyle w:val="ICRHBTableText"/>
              <w:jc w:val="left"/>
            </w:pPr>
            <w:r w:rsidRPr="00317276">
              <w:t xml:space="preserve">Ensures </w:t>
            </w:r>
            <w:r>
              <w:t>that</w:t>
            </w:r>
            <w:r w:rsidR="00816F72" w:rsidRPr="00317276">
              <w:t xml:space="preserve"> </w:t>
            </w:r>
            <w:r>
              <w:t xml:space="preserve">the </w:t>
            </w:r>
            <w:r w:rsidR="00816F72" w:rsidRPr="00317276">
              <w:t xml:space="preserve">all process is concluded within 30 calendar days. </w:t>
            </w:r>
          </w:p>
          <w:p w14:paraId="576AFF4C" w14:textId="480D99D9" w:rsidR="00542D66" w:rsidRPr="00317276" w:rsidRDefault="00542D66" w:rsidP="004F5379">
            <w:pPr>
              <w:pStyle w:val="ICRHBTableText"/>
              <w:jc w:val="left"/>
            </w:pPr>
            <w:r>
              <w:t>If appellant doesn’t agree with the appeal result, CB shall provide IPMA contact for escalation</w:t>
            </w:r>
            <w:r w:rsidR="00361B2B">
              <w:t xml:space="preserve"> process.</w:t>
            </w:r>
          </w:p>
        </w:tc>
        <w:tc>
          <w:tcPr>
            <w:tcW w:w="3120" w:type="dxa"/>
          </w:tcPr>
          <w:p w14:paraId="3ED0E7F1" w14:textId="2DF9272A" w:rsidR="00E024E8" w:rsidRPr="00317276" w:rsidRDefault="00E024E8" w:rsidP="00E024E8">
            <w:pPr>
              <w:pStyle w:val="ICRHBNormal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30E5E7A" w14:textId="77777777" w:rsidR="00210801" w:rsidRDefault="00210801" w:rsidP="00CE37F8">
      <w:pPr>
        <w:pStyle w:val="ICRHBNormal"/>
        <w:rPr>
          <w:rFonts w:cs="Arial"/>
          <w:sz w:val="20"/>
          <w:szCs w:val="20"/>
        </w:rPr>
      </w:pPr>
    </w:p>
    <w:p w14:paraId="211CCF51" w14:textId="77777777" w:rsidR="005177CB" w:rsidRPr="00317276" w:rsidRDefault="005177CB" w:rsidP="00CE37F8">
      <w:pPr>
        <w:pStyle w:val="ICRHBNormal"/>
        <w:rPr>
          <w:rFonts w:cs="Arial"/>
          <w:sz w:val="20"/>
          <w:szCs w:val="20"/>
        </w:rPr>
      </w:pPr>
    </w:p>
    <w:p w14:paraId="5C2BC9DE" w14:textId="5A53069A" w:rsidR="00ED5888" w:rsidRDefault="00ED5888" w:rsidP="00ED5888">
      <w:pPr>
        <w:pStyle w:val="ICRHBSectionHeader"/>
      </w:pPr>
      <w:bookmarkStart w:id="25" w:name="_Toc466150005"/>
      <w:r>
        <w:lastRenderedPageBreak/>
        <w:t>Complain</w:t>
      </w:r>
      <w:bookmarkEnd w:id="25"/>
      <w:r w:rsidR="00637C18">
        <w:t>t</w:t>
      </w:r>
    </w:p>
    <w:p w14:paraId="16EC20A5" w14:textId="4B543D6E" w:rsidR="00ED5888" w:rsidRDefault="00ED5888" w:rsidP="00ED5888">
      <w:pPr>
        <w:pStyle w:val="ICRHBNormal"/>
      </w:pPr>
      <w:r w:rsidRPr="00D34BF1">
        <w:rPr>
          <w:b/>
        </w:rPr>
        <w:t>Definition:</w:t>
      </w:r>
      <w:r>
        <w:t xml:space="preserve"> Complain</w:t>
      </w:r>
      <w:r w:rsidR="00637C18">
        <w:t>t</w:t>
      </w:r>
      <w:r>
        <w:t xml:space="preserve"> is an expression of dissatisfaction by an individual or organization to a CB. The complaint </w:t>
      </w:r>
      <w:r w:rsidR="00725754">
        <w:t xml:space="preserve">may be related </w:t>
      </w:r>
      <w:r w:rsidR="006D02FC">
        <w:t>with any person or situation involved in the certification process.</w:t>
      </w:r>
      <w:r w:rsidR="00725754">
        <w:t xml:space="preserve"> </w:t>
      </w:r>
    </w:p>
    <w:p w14:paraId="7BAD08FE" w14:textId="6A68AFB5" w:rsidR="00ED5888" w:rsidRDefault="00ED5888" w:rsidP="00ED5888">
      <w:pPr>
        <w:pStyle w:val="ICRHBNormal"/>
      </w:pPr>
      <w:r>
        <w:rPr>
          <w:b/>
        </w:rPr>
        <w:t>Who send</w:t>
      </w:r>
      <w:r w:rsidR="00637C18">
        <w:rPr>
          <w:b/>
        </w:rPr>
        <w:t>s</w:t>
      </w:r>
      <w:r>
        <w:rPr>
          <w:b/>
        </w:rPr>
        <w:t xml:space="preserve"> a complaint:</w:t>
      </w:r>
      <w:r>
        <w:t xml:space="preserve"> There are no </w:t>
      </w:r>
      <w:r w:rsidR="00361B2B">
        <w:t>restrictions.</w:t>
      </w:r>
      <w:r w:rsidR="006D02FC">
        <w:t xml:space="preserve"> Any person</w:t>
      </w:r>
      <w:r>
        <w:t xml:space="preserve"> can present a </w:t>
      </w:r>
      <w:r w:rsidR="008D78E3">
        <w:t>complaint</w:t>
      </w:r>
      <w:r>
        <w:t xml:space="preserve"> against a CB. </w:t>
      </w:r>
    </w:p>
    <w:p w14:paraId="0B17172D" w14:textId="5878A9B4" w:rsidR="00ED5888" w:rsidRDefault="00ED5888" w:rsidP="00ED5888">
      <w:pPr>
        <w:pStyle w:val="ICRHBNormal"/>
      </w:pPr>
      <w:r w:rsidRPr="002166F1">
        <w:rPr>
          <w:b/>
        </w:rPr>
        <w:t xml:space="preserve">How to </w:t>
      </w:r>
      <w:r>
        <w:rPr>
          <w:b/>
        </w:rPr>
        <w:t>complain</w:t>
      </w:r>
      <w:r w:rsidRPr="002166F1">
        <w:rPr>
          <w:b/>
        </w:rPr>
        <w:t>:</w:t>
      </w:r>
      <w:r>
        <w:t xml:space="preserve"> The complain</w:t>
      </w:r>
      <w:r w:rsidR="005877CA">
        <w:t>ts</w:t>
      </w:r>
      <w:r>
        <w:t xml:space="preserve"> shall be </w:t>
      </w:r>
      <w:proofErr w:type="gramStart"/>
      <w:r>
        <w:t>send</w:t>
      </w:r>
      <w:proofErr w:type="gramEnd"/>
      <w:r>
        <w:t xml:space="preserve"> to </w:t>
      </w:r>
      <w:r w:rsidR="007219A5">
        <w:t>cert@ipma.hr</w:t>
      </w:r>
      <w:r>
        <w:t xml:space="preserve"> </w:t>
      </w:r>
      <w:r w:rsidR="00114456">
        <w:t xml:space="preserve">using a </w:t>
      </w:r>
      <w:r w:rsidR="007219A5" w:rsidRPr="007219A5">
        <w:rPr>
          <w:i/>
          <w:iCs/>
        </w:rPr>
        <w:t>C</w:t>
      </w:r>
      <w:r w:rsidR="00361B2B">
        <w:rPr>
          <w:i/>
        </w:rPr>
        <w:t>omplaint</w:t>
      </w:r>
      <w:r w:rsidR="00114456" w:rsidRPr="002166F1">
        <w:rPr>
          <w:i/>
        </w:rPr>
        <w:t xml:space="preserve"> form</w:t>
      </w:r>
    </w:p>
    <w:p w14:paraId="0FE0D9CA" w14:textId="558C3EDD" w:rsidR="00ED5888" w:rsidRDefault="00ED5888" w:rsidP="00ED5888">
      <w:pPr>
        <w:pStyle w:val="ICRHBNormal"/>
      </w:pPr>
      <w:r w:rsidRPr="002166F1">
        <w:rPr>
          <w:b/>
        </w:rPr>
        <w:t xml:space="preserve">When: </w:t>
      </w:r>
      <w:r>
        <w:t xml:space="preserve">There are no date </w:t>
      </w:r>
      <w:r w:rsidR="00816F72">
        <w:t>restrictions.</w:t>
      </w:r>
    </w:p>
    <w:p w14:paraId="400FD5F3" w14:textId="32B6484A" w:rsidR="00ED5888" w:rsidRDefault="00ED5888" w:rsidP="00ED5888">
      <w:pPr>
        <w:pStyle w:val="ICRHBNormal"/>
      </w:pPr>
      <w:r w:rsidRPr="00404CD7">
        <w:rPr>
          <w:b/>
        </w:rPr>
        <w:t>Fees:</w:t>
      </w:r>
      <w:r>
        <w:t xml:space="preserve"> </w:t>
      </w:r>
      <w:r w:rsidR="00816F72">
        <w:t>No fees are applicable</w:t>
      </w:r>
    </w:p>
    <w:p w14:paraId="3A8FB4A1" w14:textId="5C6CEA7E" w:rsidR="00ED5888" w:rsidRPr="00361B2B" w:rsidRDefault="00ED5888" w:rsidP="00ED5888">
      <w:pPr>
        <w:pStyle w:val="ICRHBNormal"/>
      </w:pPr>
      <w:r w:rsidRPr="00361B2B">
        <w:t xml:space="preserve">CB </w:t>
      </w:r>
      <w:r w:rsidR="00361B2B">
        <w:t>p</w:t>
      </w:r>
      <w:r w:rsidRPr="00361B2B">
        <w:t>rocess steps and responsibilities</w:t>
      </w:r>
      <w:r w:rsidR="00361B2B" w:rsidRPr="00361B2B">
        <w:t xml:space="preserve"> are shown in the table below.</w:t>
      </w:r>
    </w:p>
    <w:p w14:paraId="6EF213DE" w14:textId="0DA57DD5" w:rsidR="00361B2B" w:rsidRDefault="00361B2B" w:rsidP="00361B2B">
      <w:pPr>
        <w:pStyle w:val="Tablecaption"/>
        <w:jc w:val="left"/>
      </w:pPr>
      <w:r>
        <w:t>Table 2. CB process steps dealing with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4794"/>
        <w:gridCol w:w="3064"/>
      </w:tblGrid>
      <w:tr w:rsidR="008D78E3" w:rsidRPr="00317276" w14:paraId="726FDF1F" w14:textId="77777777" w:rsidTr="006C7B3F">
        <w:trPr>
          <w:trHeight w:val="355"/>
        </w:trPr>
        <w:tc>
          <w:tcPr>
            <w:tcW w:w="1781" w:type="dxa"/>
          </w:tcPr>
          <w:p w14:paraId="07C20578" w14:textId="77777777" w:rsidR="008D78E3" w:rsidRPr="00361B2B" w:rsidRDefault="008D78E3" w:rsidP="00361B2B">
            <w:pPr>
              <w:pStyle w:val="ICRHBTableHeader"/>
            </w:pPr>
            <w:r w:rsidRPr="00361B2B">
              <w:t>Responsibility</w:t>
            </w:r>
          </w:p>
        </w:tc>
        <w:tc>
          <w:tcPr>
            <w:tcW w:w="4953" w:type="dxa"/>
          </w:tcPr>
          <w:p w14:paraId="3958932D" w14:textId="77777777" w:rsidR="008D78E3" w:rsidRPr="00361B2B" w:rsidRDefault="008D78E3" w:rsidP="00361B2B">
            <w:pPr>
              <w:pStyle w:val="ICRHBTableHeader"/>
            </w:pPr>
            <w:r w:rsidRPr="00361B2B">
              <w:t>Process steps</w:t>
            </w:r>
          </w:p>
        </w:tc>
        <w:tc>
          <w:tcPr>
            <w:tcW w:w="3120" w:type="dxa"/>
          </w:tcPr>
          <w:p w14:paraId="1613033C" w14:textId="77777777" w:rsidR="008D78E3" w:rsidRPr="00361B2B" w:rsidRDefault="008D78E3" w:rsidP="00361B2B">
            <w:pPr>
              <w:pStyle w:val="ICRHBTableHeader"/>
            </w:pPr>
            <w:r w:rsidRPr="00361B2B">
              <w:t>Results</w:t>
            </w:r>
          </w:p>
        </w:tc>
      </w:tr>
      <w:tr w:rsidR="008D78E3" w:rsidRPr="00D30BFD" w14:paraId="16D1FB49" w14:textId="77777777" w:rsidTr="006C7B3F">
        <w:trPr>
          <w:trHeight w:val="695"/>
        </w:trPr>
        <w:tc>
          <w:tcPr>
            <w:tcW w:w="1781" w:type="dxa"/>
          </w:tcPr>
          <w:p w14:paraId="48CFAFA8" w14:textId="160DC6A0" w:rsidR="008D78E3" w:rsidRPr="00317276" w:rsidRDefault="008D78E3" w:rsidP="006C7B3F">
            <w:pPr>
              <w:pStyle w:val="ICRHBTableText"/>
              <w:jc w:val="left"/>
            </w:pPr>
          </w:p>
        </w:tc>
        <w:tc>
          <w:tcPr>
            <w:tcW w:w="4953" w:type="dxa"/>
          </w:tcPr>
          <w:p w14:paraId="6292A28F" w14:textId="09806BDC" w:rsidR="008D78E3" w:rsidRPr="00317276" w:rsidRDefault="008D78E3" w:rsidP="006C7B3F">
            <w:pPr>
              <w:pStyle w:val="ICRHBTableText"/>
              <w:jc w:val="left"/>
            </w:pPr>
            <w:r w:rsidRPr="00317276">
              <w:t xml:space="preserve">Submitted </w:t>
            </w:r>
            <w:r>
              <w:t>a complaint</w:t>
            </w:r>
            <w:r w:rsidRPr="00317276">
              <w:t xml:space="preserve"> </w:t>
            </w:r>
          </w:p>
        </w:tc>
        <w:tc>
          <w:tcPr>
            <w:tcW w:w="3120" w:type="dxa"/>
          </w:tcPr>
          <w:p w14:paraId="2E7342AF" w14:textId="52AB25F5" w:rsidR="008D78E3" w:rsidRPr="00D073EC" w:rsidRDefault="00542D66" w:rsidP="006C7B3F">
            <w:pPr>
              <w:pStyle w:val="ICRHBTableText"/>
              <w:jc w:val="left"/>
            </w:pPr>
            <w:r>
              <w:t>Complaint</w:t>
            </w:r>
            <w:r w:rsidR="008D78E3">
              <w:t xml:space="preserve"> received by </w:t>
            </w:r>
            <w:r w:rsidR="008D78E3" w:rsidRPr="00781B70">
              <w:t>CB administration</w:t>
            </w:r>
          </w:p>
        </w:tc>
      </w:tr>
      <w:tr w:rsidR="008D78E3" w:rsidRPr="00D30BFD" w14:paraId="7A1E23F7" w14:textId="77777777" w:rsidTr="006C7B3F">
        <w:tc>
          <w:tcPr>
            <w:tcW w:w="1781" w:type="dxa"/>
          </w:tcPr>
          <w:p w14:paraId="10A1CC7B" w14:textId="77777777" w:rsidR="008D78E3" w:rsidRPr="00317276" w:rsidRDefault="008D78E3" w:rsidP="00361B2B">
            <w:pPr>
              <w:pStyle w:val="ICRHBTableText"/>
              <w:jc w:val="left"/>
            </w:pPr>
            <w:r w:rsidRPr="00317276">
              <w:t>CB administration</w:t>
            </w:r>
          </w:p>
        </w:tc>
        <w:tc>
          <w:tcPr>
            <w:tcW w:w="4953" w:type="dxa"/>
          </w:tcPr>
          <w:p w14:paraId="457D85B6" w14:textId="77777777" w:rsidR="008D78E3" w:rsidRPr="00317276" w:rsidRDefault="008D78E3" w:rsidP="00361B2B">
            <w:pPr>
              <w:pStyle w:val="ICRHBTableText"/>
              <w:jc w:val="left"/>
            </w:pPr>
            <w:r w:rsidRPr="00317276">
              <w:t xml:space="preserve">CB administration shall: </w:t>
            </w:r>
          </w:p>
          <w:p w14:paraId="7B7F6903" w14:textId="10C1B890" w:rsidR="008D78E3" w:rsidRPr="00317276" w:rsidRDefault="008D78E3" w:rsidP="00361B2B">
            <w:pPr>
              <w:pStyle w:val="ICRHBTableBullets"/>
            </w:pPr>
            <w:r w:rsidRPr="00317276">
              <w:t xml:space="preserve">Record the </w:t>
            </w:r>
            <w:r w:rsidR="00542D66">
              <w:t>complaint</w:t>
            </w:r>
            <w:r w:rsidRPr="00317276">
              <w:t>;</w:t>
            </w:r>
          </w:p>
          <w:p w14:paraId="61EC8662" w14:textId="5D8857BA" w:rsidR="008D78E3" w:rsidRPr="00317276" w:rsidRDefault="008D78E3" w:rsidP="00361B2B">
            <w:pPr>
              <w:pStyle w:val="ICRHBTableBullets"/>
            </w:pPr>
            <w:r w:rsidRPr="00317276">
              <w:t>Send a confirmation of receipt;</w:t>
            </w:r>
          </w:p>
          <w:p w14:paraId="49EC45D4" w14:textId="53B0565B" w:rsidR="008D78E3" w:rsidRPr="00317276" w:rsidRDefault="008D78E3" w:rsidP="00361B2B">
            <w:pPr>
              <w:pStyle w:val="ICRHBTableBullets"/>
            </w:pPr>
            <w:r w:rsidRPr="00317276">
              <w:t xml:space="preserve">Send </w:t>
            </w:r>
            <w:r w:rsidR="00542D66">
              <w:t>complaint to</w:t>
            </w:r>
            <w:r w:rsidRPr="00317276">
              <w:t xml:space="preserve"> CB ‘Certification Manager’</w:t>
            </w:r>
            <w:r w:rsidR="00542D66">
              <w:t xml:space="preserve"> </w:t>
            </w:r>
          </w:p>
          <w:p w14:paraId="083FA2E5" w14:textId="1D008FE3" w:rsidR="008D78E3" w:rsidRPr="00317276" w:rsidRDefault="008D78E3" w:rsidP="00542D66">
            <w:pPr>
              <w:pStyle w:val="ICRHBNormal"/>
              <w:spacing w:after="0"/>
              <w:ind w:left="3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A79BFBD" w14:textId="6B0D60E6" w:rsidR="008D78E3" w:rsidRDefault="00542D66" w:rsidP="00361B2B">
            <w:pPr>
              <w:pStyle w:val="ICRHBTableText"/>
              <w:jc w:val="left"/>
            </w:pPr>
            <w:r>
              <w:t xml:space="preserve">Send </w:t>
            </w:r>
            <w:r w:rsidR="008D78E3" w:rsidRPr="00317276">
              <w:t>confirmation of receipt</w:t>
            </w:r>
          </w:p>
          <w:p w14:paraId="7A355FEF" w14:textId="77777777" w:rsidR="008D78E3" w:rsidRDefault="008D78E3" w:rsidP="00361B2B">
            <w:pPr>
              <w:pStyle w:val="ICRHBTableText"/>
              <w:jc w:val="left"/>
            </w:pPr>
          </w:p>
          <w:p w14:paraId="6CAE49FC" w14:textId="02A6CDDB" w:rsidR="008D78E3" w:rsidRPr="00317276" w:rsidRDefault="008D78E3" w:rsidP="00361B2B">
            <w:pPr>
              <w:pStyle w:val="ICRHBTableText"/>
              <w:jc w:val="left"/>
            </w:pPr>
            <w:r w:rsidRPr="00317276">
              <w:t>To CB ‘Certification Manager’: &lt;</w:t>
            </w:r>
            <w:r w:rsidR="00542D66">
              <w:t>complaint</w:t>
            </w:r>
            <w:r w:rsidRPr="00317276">
              <w:t xml:space="preserve"> form&gt;</w:t>
            </w:r>
          </w:p>
          <w:p w14:paraId="7559339E" w14:textId="77777777" w:rsidR="008D78E3" w:rsidRPr="00317276" w:rsidRDefault="008D78E3" w:rsidP="006C7B3F">
            <w:pPr>
              <w:pStyle w:val="ICRHBNormal"/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D78E3" w:rsidRPr="00D30BFD" w14:paraId="0769C569" w14:textId="77777777" w:rsidTr="006C7B3F">
        <w:tc>
          <w:tcPr>
            <w:tcW w:w="1781" w:type="dxa"/>
          </w:tcPr>
          <w:p w14:paraId="7156A666" w14:textId="139E11B7" w:rsidR="008D78E3" w:rsidRPr="00317276" w:rsidRDefault="008D78E3" w:rsidP="00361B2B">
            <w:pPr>
              <w:pStyle w:val="ICRHBTableText"/>
              <w:jc w:val="left"/>
            </w:pPr>
            <w:r w:rsidRPr="00317276">
              <w:t>CB ‘Certification Manager’</w:t>
            </w:r>
            <w:r w:rsidR="00542D66">
              <w:t xml:space="preserve"> and Head of CB </w:t>
            </w:r>
          </w:p>
          <w:p w14:paraId="243A9802" w14:textId="77777777" w:rsidR="008D78E3" w:rsidRPr="00317276" w:rsidRDefault="008D78E3" w:rsidP="00361B2B">
            <w:pPr>
              <w:pStyle w:val="ICRHBTableText"/>
              <w:jc w:val="left"/>
            </w:pPr>
          </w:p>
        </w:tc>
        <w:tc>
          <w:tcPr>
            <w:tcW w:w="4953" w:type="dxa"/>
          </w:tcPr>
          <w:p w14:paraId="76E64F6D" w14:textId="503EDE7A" w:rsidR="008D78E3" w:rsidRDefault="008D78E3" w:rsidP="00361B2B">
            <w:pPr>
              <w:pStyle w:val="ICRHBTableText"/>
              <w:jc w:val="left"/>
            </w:pPr>
            <w:r w:rsidRPr="00317276">
              <w:t xml:space="preserve">The CB ‘Certification Manager’ shall first try to resolve the complaint within </w:t>
            </w:r>
            <w:r w:rsidR="006D02FC">
              <w:t xml:space="preserve">the </w:t>
            </w:r>
            <w:r w:rsidR="00542D66">
              <w:t xml:space="preserve">operational management </w:t>
            </w:r>
            <w:r w:rsidR="006D02FC">
              <w:t>level</w:t>
            </w:r>
            <w:r w:rsidR="00542D66">
              <w:t xml:space="preserve">. </w:t>
            </w:r>
          </w:p>
          <w:p w14:paraId="24254BCF" w14:textId="297D39F9" w:rsidR="008D78E3" w:rsidRPr="00317276" w:rsidRDefault="00542D66" w:rsidP="00361B2B">
            <w:pPr>
              <w:pStyle w:val="ICRHBTableText"/>
              <w:jc w:val="left"/>
            </w:pPr>
            <w:r w:rsidRPr="00542D66">
              <w:t xml:space="preserve">If </w:t>
            </w:r>
            <w:r w:rsidR="00725754">
              <w:t xml:space="preserve">it’s </w:t>
            </w:r>
            <w:r w:rsidRPr="00542D66">
              <w:t xml:space="preserve">not possible, then </w:t>
            </w:r>
            <w:r w:rsidR="00725754">
              <w:t xml:space="preserve">the </w:t>
            </w:r>
            <w:r w:rsidR="006D02FC" w:rsidRPr="00317276">
              <w:t>Certification Manager</w:t>
            </w:r>
            <w:r w:rsidR="006D02FC">
              <w:t xml:space="preserve"> </w:t>
            </w:r>
            <w:r w:rsidR="00725754">
              <w:t xml:space="preserve">shall send the complaint to the </w:t>
            </w:r>
            <w:r w:rsidR="00725754" w:rsidRPr="00317276">
              <w:t>CB Complaints and Appeals Committee</w:t>
            </w:r>
          </w:p>
        </w:tc>
        <w:tc>
          <w:tcPr>
            <w:tcW w:w="3120" w:type="dxa"/>
          </w:tcPr>
          <w:p w14:paraId="45DA138C" w14:textId="36415CC7" w:rsidR="008D78E3" w:rsidRPr="00317276" w:rsidRDefault="00725754" w:rsidP="00361B2B">
            <w:pPr>
              <w:pStyle w:val="ICRHBTableText"/>
              <w:jc w:val="left"/>
            </w:pPr>
            <w:r>
              <w:t>Complaint</w:t>
            </w:r>
            <w:r w:rsidR="008D78E3" w:rsidRPr="00317276">
              <w:t xml:space="preserve"> to CB Complaints and Appeals Committee</w:t>
            </w:r>
          </w:p>
          <w:p w14:paraId="5A2CC969" w14:textId="77777777" w:rsidR="008D78E3" w:rsidRPr="00317276" w:rsidRDefault="008D78E3" w:rsidP="00361B2B">
            <w:pPr>
              <w:pStyle w:val="ICRHBTableText"/>
              <w:jc w:val="left"/>
            </w:pPr>
            <w:r w:rsidRPr="00317276">
              <w:t>Or</w:t>
            </w:r>
          </w:p>
          <w:p w14:paraId="03379C09" w14:textId="2B8C8CE6" w:rsidR="008D78E3" w:rsidRPr="00317276" w:rsidRDefault="008D78E3" w:rsidP="00361B2B">
            <w:pPr>
              <w:pStyle w:val="ICRHBTableText"/>
              <w:jc w:val="left"/>
            </w:pPr>
            <w:r w:rsidRPr="00317276">
              <w:t xml:space="preserve">CB administration with the resolution </w:t>
            </w:r>
          </w:p>
        </w:tc>
      </w:tr>
      <w:tr w:rsidR="008D78E3" w:rsidRPr="00D30BFD" w14:paraId="130DB751" w14:textId="77777777" w:rsidTr="006C7B3F">
        <w:tc>
          <w:tcPr>
            <w:tcW w:w="1781" w:type="dxa"/>
          </w:tcPr>
          <w:p w14:paraId="7FC71334" w14:textId="77777777" w:rsidR="008D78E3" w:rsidRPr="00317276" w:rsidRDefault="008D78E3" w:rsidP="00361B2B">
            <w:pPr>
              <w:pStyle w:val="ICRHBTableText"/>
              <w:jc w:val="left"/>
            </w:pPr>
            <w:r w:rsidRPr="00317276">
              <w:t>CB Complaints and Appeals Committee</w:t>
            </w:r>
          </w:p>
        </w:tc>
        <w:tc>
          <w:tcPr>
            <w:tcW w:w="4953" w:type="dxa"/>
          </w:tcPr>
          <w:p w14:paraId="13389C5C" w14:textId="2B6EA84E" w:rsidR="008D78E3" w:rsidRPr="00317276" w:rsidRDefault="008D78E3" w:rsidP="00361B2B">
            <w:pPr>
              <w:pStyle w:val="ICRHBTableText"/>
              <w:jc w:val="left"/>
            </w:pPr>
            <w:r w:rsidRPr="00317276">
              <w:t>The members of the Complaints and Appeals committee shall be appointed by the CB’s strategic management and shall not have been involved in the complaint that</w:t>
            </w:r>
            <w:r w:rsidR="00725754">
              <w:t xml:space="preserve"> is being made, not one of the persons focus on the complaint neither one assessor involved on the activity base of the complaint.</w:t>
            </w:r>
          </w:p>
          <w:p w14:paraId="53E39198" w14:textId="5CA9A266" w:rsidR="008D78E3" w:rsidRPr="00317276" w:rsidRDefault="008D78E3" w:rsidP="00361B2B">
            <w:pPr>
              <w:pStyle w:val="ICRHBTableText"/>
              <w:jc w:val="left"/>
            </w:pPr>
            <w:r w:rsidRPr="00317276">
              <w:t xml:space="preserve">CB Complaints and Appeals Committee shall review </w:t>
            </w:r>
            <w:r w:rsidR="00725754">
              <w:t>the complaint and decide if a corrective action shall be implemented. the action to take.</w:t>
            </w:r>
          </w:p>
        </w:tc>
        <w:tc>
          <w:tcPr>
            <w:tcW w:w="3120" w:type="dxa"/>
          </w:tcPr>
          <w:p w14:paraId="5C555028" w14:textId="07279B7C" w:rsidR="008D78E3" w:rsidRPr="00317276" w:rsidRDefault="008D78E3" w:rsidP="00361B2B">
            <w:pPr>
              <w:pStyle w:val="ICRHBTableText"/>
              <w:jc w:val="left"/>
            </w:pPr>
            <w:r w:rsidRPr="00317276">
              <w:t xml:space="preserve">To the </w:t>
            </w:r>
            <w:r w:rsidR="00725754">
              <w:t>complaint</w:t>
            </w:r>
            <w:r w:rsidRPr="00317276">
              <w:t>:</w:t>
            </w:r>
          </w:p>
          <w:p w14:paraId="4FF0E380" w14:textId="214B2CA1" w:rsidR="008D78E3" w:rsidRPr="00317276" w:rsidRDefault="00725754" w:rsidP="00361B2B">
            <w:pPr>
              <w:pStyle w:val="ICRHBTableBullets"/>
            </w:pPr>
            <w:r>
              <w:t>Complaint</w:t>
            </w:r>
            <w:r w:rsidR="008D78E3" w:rsidRPr="00317276">
              <w:t xml:space="preserve"> result</w:t>
            </w:r>
          </w:p>
          <w:p w14:paraId="67547E96" w14:textId="77777777" w:rsidR="008D78E3" w:rsidRPr="00317276" w:rsidRDefault="008D78E3" w:rsidP="00361B2B">
            <w:pPr>
              <w:pStyle w:val="ICRHBTableText"/>
              <w:jc w:val="left"/>
            </w:pPr>
            <w:r w:rsidRPr="00317276">
              <w:t>To CB administration</w:t>
            </w:r>
          </w:p>
          <w:p w14:paraId="2F893F92" w14:textId="0DDDF767" w:rsidR="008D78E3" w:rsidRPr="00317276" w:rsidRDefault="00361B2B" w:rsidP="00361B2B">
            <w:pPr>
              <w:pStyle w:val="ICRHBTableBullets"/>
            </w:pPr>
            <w:r>
              <w:t>C</w:t>
            </w:r>
            <w:r w:rsidR="008D6780">
              <w:t>omplaint</w:t>
            </w:r>
            <w:r w:rsidR="008D78E3" w:rsidRPr="00317276">
              <w:t xml:space="preserve"> result copy</w:t>
            </w:r>
          </w:p>
          <w:p w14:paraId="46098E46" w14:textId="77777777" w:rsidR="008D78E3" w:rsidRPr="00317276" w:rsidRDefault="008D78E3" w:rsidP="00361B2B">
            <w:pPr>
              <w:pStyle w:val="ICRHBTableText"/>
              <w:jc w:val="left"/>
            </w:pPr>
            <w:r w:rsidRPr="00317276">
              <w:t xml:space="preserve">CB ‘Certification Manager’ </w:t>
            </w:r>
          </w:p>
          <w:p w14:paraId="17EDA633" w14:textId="36B8BD46" w:rsidR="008D78E3" w:rsidRPr="008D6780" w:rsidRDefault="008D78E3" w:rsidP="00361B2B">
            <w:pPr>
              <w:pStyle w:val="ICRHBTableBullets"/>
            </w:pPr>
            <w:r w:rsidRPr="00317276">
              <w:t>Any improvement or corrective action</w:t>
            </w:r>
          </w:p>
        </w:tc>
      </w:tr>
      <w:tr w:rsidR="008D78E3" w:rsidRPr="00D30BFD" w14:paraId="39477206" w14:textId="77777777" w:rsidTr="006C7B3F">
        <w:tc>
          <w:tcPr>
            <w:tcW w:w="1781" w:type="dxa"/>
          </w:tcPr>
          <w:p w14:paraId="103E482A" w14:textId="77777777" w:rsidR="008D78E3" w:rsidRPr="00317276" w:rsidRDefault="008D78E3" w:rsidP="00361B2B">
            <w:pPr>
              <w:pStyle w:val="ICRHBTableText"/>
              <w:jc w:val="left"/>
            </w:pPr>
            <w:r w:rsidRPr="00317276">
              <w:t>CB administration</w:t>
            </w:r>
          </w:p>
        </w:tc>
        <w:tc>
          <w:tcPr>
            <w:tcW w:w="4953" w:type="dxa"/>
          </w:tcPr>
          <w:p w14:paraId="40632D67" w14:textId="67DFDB6B" w:rsidR="008D78E3" w:rsidRPr="00317276" w:rsidRDefault="008D6780" w:rsidP="00361B2B">
            <w:pPr>
              <w:pStyle w:val="ICRHBTableText"/>
              <w:jc w:val="left"/>
            </w:pPr>
            <w:r>
              <w:t xml:space="preserve">All complaint </w:t>
            </w:r>
            <w:r w:rsidR="008D78E3" w:rsidRPr="00317276">
              <w:t>results shall be record</w:t>
            </w:r>
            <w:r w:rsidR="00114456">
              <w:t>ed</w:t>
            </w:r>
            <w:r w:rsidR="00361B2B">
              <w:t>.</w:t>
            </w:r>
          </w:p>
          <w:p w14:paraId="000592C2" w14:textId="6A325A15" w:rsidR="008D78E3" w:rsidRPr="00317276" w:rsidRDefault="008D78E3" w:rsidP="00361B2B">
            <w:pPr>
              <w:pStyle w:val="ICRHBTableText"/>
              <w:jc w:val="left"/>
            </w:pPr>
            <w:r w:rsidRPr="00317276">
              <w:t>E</w:t>
            </w:r>
            <w:r w:rsidR="00114456">
              <w:t>nsures that the all process is</w:t>
            </w:r>
            <w:r w:rsidRPr="00317276">
              <w:t xml:space="preserve"> concluded within 30 calendar days. </w:t>
            </w:r>
          </w:p>
        </w:tc>
        <w:tc>
          <w:tcPr>
            <w:tcW w:w="3120" w:type="dxa"/>
          </w:tcPr>
          <w:p w14:paraId="70DBBF51" w14:textId="77777777" w:rsidR="008D78E3" w:rsidRPr="00317276" w:rsidRDefault="008D78E3" w:rsidP="006C7B3F">
            <w:pPr>
              <w:pStyle w:val="ICRHBNormal"/>
              <w:jc w:val="left"/>
              <w:rPr>
                <w:rFonts w:cs="Arial"/>
                <w:sz w:val="20"/>
                <w:szCs w:val="20"/>
              </w:rPr>
            </w:pPr>
          </w:p>
        </w:tc>
      </w:tr>
      <w:bookmarkEnd w:id="22"/>
      <w:bookmarkEnd w:id="23"/>
    </w:tbl>
    <w:p w14:paraId="12901B82" w14:textId="77777777" w:rsidR="008D78E3" w:rsidRPr="00D30BFD" w:rsidRDefault="008D78E3" w:rsidP="00ED5888">
      <w:pPr>
        <w:pStyle w:val="ICRHBNormal"/>
        <w:rPr>
          <w:b/>
          <w:lang w:val="en-US"/>
        </w:rPr>
      </w:pPr>
    </w:p>
    <w:sectPr w:rsidR="008D78E3" w:rsidRPr="00D30BFD" w:rsidSect="00CF48DC">
      <w:footerReference w:type="defaul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22FD4" w14:textId="77777777" w:rsidR="00844186" w:rsidRDefault="00844186" w:rsidP="00BD5DB3">
      <w:pPr>
        <w:spacing w:after="0" w:line="240" w:lineRule="auto"/>
      </w:pPr>
      <w:r>
        <w:separator/>
      </w:r>
    </w:p>
  </w:endnote>
  <w:endnote w:type="continuationSeparator" w:id="0">
    <w:p w14:paraId="2313AEFF" w14:textId="77777777" w:rsidR="00844186" w:rsidRDefault="00844186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9D362" w14:textId="77777777" w:rsidR="008E2659" w:rsidRDefault="008E2659" w:rsidP="00521AEC">
    <w:pPr>
      <w:pStyle w:val="ICRHBFooter"/>
      <w:jc w:val="right"/>
    </w:pPr>
  </w:p>
  <w:p w14:paraId="2D5F28CD" w14:textId="2CB06B19" w:rsidR="008E2659" w:rsidRDefault="008E2659" w:rsidP="00521AEC">
    <w:pPr>
      <w:pStyle w:val="ICRHBFooter"/>
      <w:jc w:val="right"/>
    </w:pPr>
  </w:p>
  <w:p w14:paraId="36ACFDEA" w14:textId="4FB66D3B" w:rsidR="008E2659" w:rsidRDefault="008E2659" w:rsidP="00620CC3">
    <w:pPr>
      <w:pStyle w:val="ICRHBFooter"/>
    </w:pPr>
    <w:r>
      <w:t>IPMA ICR4</w:t>
    </w:r>
    <w:r w:rsidRPr="00BD5DB3">
      <w:t xml:space="preserve"> Handbook </w:t>
    </w:r>
    <w:r w:rsidR="005877CA">
      <w:tab/>
    </w:r>
    <w:r w:rsidR="005877CA">
      <w:tab/>
    </w:r>
    <w:r w:rsidR="00635F1C">
      <w:rPr>
        <w:noProof/>
      </w:rPr>
      <w:fldChar w:fldCharType="begin"/>
    </w:r>
    <w:r w:rsidR="00635F1C">
      <w:rPr>
        <w:noProof/>
      </w:rPr>
      <w:instrText xml:space="preserve"> FILENAME  \* MERGEFORMAT </w:instrText>
    </w:r>
    <w:r w:rsidR="00635F1C">
      <w:rPr>
        <w:noProof/>
      </w:rPr>
      <w:fldChar w:fldCharType="separate"/>
    </w:r>
    <w:r w:rsidR="005177CB">
      <w:rPr>
        <w:noProof/>
      </w:rPr>
      <w:t>IPMA-ICR-HB-Complaints-and-Appeals-v1.0</w:t>
    </w:r>
    <w:r w:rsidR="00635F1C">
      <w:rPr>
        <w:noProof/>
      </w:rPr>
      <w:fldChar w:fldCharType="end"/>
    </w:r>
  </w:p>
  <w:p w14:paraId="2595D1C0" w14:textId="465A3B59" w:rsidR="008E2659" w:rsidRPr="00BD5DB3" w:rsidRDefault="008E2659" w:rsidP="00C52311">
    <w:pPr>
      <w:pStyle w:val="Footer"/>
      <w:rPr>
        <w:lang w:val="en-US"/>
      </w:rPr>
    </w:pPr>
    <w:r w:rsidRPr="00BD5DB3">
      <w:rPr>
        <w:color w:val="FF0000"/>
        <w:lang w:val="en-US"/>
      </w:rPr>
      <w:t>Internal</w:t>
    </w:r>
    <w:r w:rsidRPr="00BD5DB3">
      <w:rPr>
        <w:lang w:val="en-US"/>
      </w:rPr>
      <w:t xml:space="preserve"> </w:t>
    </w:r>
    <w:r w:rsidRPr="00BD5DB3">
      <w:rPr>
        <w:color w:val="FF0000"/>
        <w:lang w:val="en-US"/>
      </w:rPr>
      <w:t>IPMA</w:t>
    </w:r>
    <w:r w:rsidRPr="00BD5DB3">
      <w:rPr>
        <w:lang w:val="en-US"/>
      </w:rPr>
      <w:t xml:space="preserve"> </w:t>
    </w:r>
    <w:r w:rsidRPr="00BD5DB3">
      <w:rPr>
        <w:color w:val="FF0000"/>
        <w:lang w:val="en-US"/>
      </w:rPr>
      <w:t>document</w:t>
    </w:r>
    <w:r>
      <w:rPr>
        <w:lang w:val="en-US"/>
      </w:rPr>
      <w:tab/>
      <w:t>Page</w:t>
    </w:r>
    <w:r w:rsidRPr="00BD5DB3">
      <w:rPr>
        <w:lang w:val="en-US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D771E4">
      <w:rPr>
        <w:b/>
        <w:bCs/>
        <w:noProof/>
        <w:lang w:val="en-US"/>
      </w:rPr>
      <w:t>5</w:t>
    </w:r>
    <w:r>
      <w:rPr>
        <w:b/>
        <w:bCs/>
        <w:sz w:val="24"/>
        <w:szCs w:val="24"/>
      </w:rPr>
      <w:fldChar w:fldCharType="end"/>
    </w:r>
    <w:r w:rsidRPr="00BD5DB3">
      <w:rPr>
        <w:lang w:val="en-US"/>
      </w:rPr>
      <w:t xml:space="preserve"> </w:t>
    </w:r>
    <w:r>
      <w:rPr>
        <w:lang w:val="en-US"/>
      </w:rPr>
      <w:t>of</w:t>
    </w:r>
    <w:r w:rsidRPr="00BD5DB3">
      <w:rPr>
        <w:lang w:val="en-US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D771E4">
      <w:rPr>
        <w:b/>
        <w:bCs/>
        <w:noProof/>
        <w:lang w:val="en-US"/>
      </w:rPr>
      <w:t>5</w:t>
    </w:r>
    <w:r>
      <w:rPr>
        <w:b/>
        <w:bCs/>
        <w:sz w:val="24"/>
        <w:szCs w:val="24"/>
      </w:rPr>
      <w:fldChar w:fldCharType="end"/>
    </w:r>
    <w:r w:rsidR="00F44E4F">
      <w:rPr>
        <w:lang w:val="en-US"/>
      </w:rPr>
      <w:tab/>
    </w:r>
    <w:r>
      <w:rPr>
        <w:lang w:val="en-US"/>
      </w:rPr>
      <w:t>v</w:t>
    </w:r>
    <w:r w:rsidR="005877CA">
      <w:rPr>
        <w:lang w:val="en-US"/>
      </w:rPr>
      <w:t>1.</w:t>
    </w:r>
    <w:r>
      <w:rPr>
        <w:lang w:val="en-US"/>
      </w:rPr>
      <w:t xml:space="preserve">0, </w:t>
    </w:r>
    <w:r w:rsidR="00D30BFD">
      <w:rPr>
        <w:lang w:val="en-US"/>
      </w:rPr>
      <w:t>1</w:t>
    </w:r>
    <w:r w:rsidR="005877CA">
      <w:rPr>
        <w:lang w:val="en-US"/>
      </w:rPr>
      <w:t>0</w:t>
    </w:r>
    <w:r w:rsidR="00C12A02">
      <w:rPr>
        <w:lang w:val="en-US"/>
      </w:rPr>
      <w:t>.</w:t>
    </w:r>
    <w:r w:rsidR="005877CA">
      <w:rPr>
        <w:lang w:val="en-US"/>
      </w:rPr>
      <w:t>0</w:t>
    </w:r>
    <w:r w:rsidR="00F44E4F">
      <w:rPr>
        <w:lang w:val="en-US"/>
      </w:rPr>
      <w:t>1</w:t>
    </w:r>
    <w:r>
      <w:rPr>
        <w:lang w:val="en-US"/>
      </w:rPr>
      <w:t>.201</w:t>
    </w:r>
    <w:r w:rsidR="005877CA">
      <w:rPr>
        <w:lang w:val="en-US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8251" w14:textId="77777777" w:rsidR="008E2659" w:rsidRPr="00BD5DB3" w:rsidRDefault="008E2659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0B1E213D" w14:textId="77777777" w:rsidR="008E2659" w:rsidRPr="00BD5DB3" w:rsidRDefault="008E2659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C7478" w14:textId="77777777" w:rsidR="00844186" w:rsidRDefault="00844186" w:rsidP="00BD5DB3">
      <w:pPr>
        <w:spacing w:after="0" w:line="240" w:lineRule="auto"/>
      </w:pPr>
      <w:r>
        <w:separator/>
      </w:r>
    </w:p>
  </w:footnote>
  <w:footnote w:type="continuationSeparator" w:id="0">
    <w:p w14:paraId="0EBA9F9E" w14:textId="77777777" w:rsidR="00844186" w:rsidRDefault="00844186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033E"/>
    <w:multiLevelType w:val="hybridMultilevel"/>
    <w:tmpl w:val="FBD24B9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13EE4"/>
    <w:multiLevelType w:val="multilevel"/>
    <w:tmpl w:val="33FEDFCC"/>
    <w:lvl w:ilvl="0">
      <w:start w:val="1"/>
      <w:numFmt w:val="decimal"/>
      <w:pStyle w:val="ICRHBSectionHeader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775C"/>
    <w:multiLevelType w:val="hybridMultilevel"/>
    <w:tmpl w:val="A6A8EC5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7656F"/>
    <w:multiLevelType w:val="hybridMultilevel"/>
    <w:tmpl w:val="28801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2C93"/>
    <w:multiLevelType w:val="hybridMultilevel"/>
    <w:tmpl w:val="14A0B93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9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C72A89"/>
    <w:multiLevelType w:val="hybridMultilevel"/>
    <w:tmpl w:val="363E6C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CF2C1E"/>
    <w:multiLevelType w:val="hybridMultilevel"/>
    <w:tmpl w:val="589CC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BC4A94"/>
    <w:multiLevelType w:val="hybridMultilevel"/>
    <w:tmpl w:val="C2FCE286"/>
    <w:lvl w:ilvl="0" w:tplc="0413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3A4526A2"/>
    <w:multiLevelType w:val="hybridMultilevel"/>
    <w:tmpl w:val="79E4AC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24C"/>
    <w:multiLevelType w:val="hybridMultilevel"/>
    <w:tmpl w:val="CD4A0C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319BC"/>
    <w:multiLevelType w:val="hybridMultilevel"/>
    <w:tmpl w:val="A2CC0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606EA"/>
    <w:multiLevelType w:val="hybridMultilevel"/>
    <w:tmpl w:val="FAA42B1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7E1504"/>
    <w:multiLevelType w:val="hybridMultilevel"/>
    <w:tmpl w:val="C76E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7A59"/>
    <w:multiLevelType w:val="hybridMultilevel"/>
    <w:tmpl w:val="03120FB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100AF"/>
    <w:multiLevelType w:val="hybridMultilevel"/>
    <w:tmpl w:val="DBDAF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642C23"/>
    <w:multiLevelType w:val="hybridMultilevel"/>
    <w:tmpl w:val="D7100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215EBB"/>
    <w:multiLevelType w:val="hybridMultilevel"/>
    <w:tmpl w:val="7096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2389C"/>
    <w:multiLevelType w:val="hybridMultilevel"/>
    <w:tmpl w:val="A60800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8"/>
  </w:num>
  <w:num w:numId="4">
    <w:abstractNumId w:val="14"/>
  </w:num>
  <w:num w:numId="5">
    <w:abstractNumId w:val="25"/>
  </w:num>
  <w:num w:numId="6">
    <w:abstractNumId w:val="27"/>
  </w:num>
  <w:num w:numId="7">
    <w:abstractNumId w:val="12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4"/>
  </w:num>
  <w:num w:numId="13">
    <w:abstractNumId w:val="10"/>
  </w:num>
  <w:num w:numId="14">
    <w:abstractNumId w:val="1"/>
  </w:num>
  <w:num w:numId="15">
    <w:abstractNumId w:val="9"/>
  </w:num>
  <w:num w:numId="16">
    <w:abstractNumId w:val="9"/>
  </w:num>
  <w:num w:numId="17">
    <w:abstractNumId w:val="3"/>
  </w:num>
  <w:num w:numId="18">
    <w:abstractNumId w:val="15"/>
  </w:num>
  <w:num w:numId="19">
    <w:abstractNumId w:val="3"/>
  </w:num>
  <w:num w:numId="20">
    <w:abstractNumId w:val="3"/>
  </w:num>
  <w:num w:numId="21">
    <w:abstractNumId w:val="0"/>
  </w:num>
  <w:num w:numId="22">
    <w:abstractNumId w:val="3"/>
  </w:num>
  <w:num w:numId="23">
    <w:abstractNumId w:val="11"/>
  </w:num>
  <w:num w:numId="24">
    <w:abstractNumId w:val="16"/>
  </w:num>
  <w:num w:numId="25">
    <w:abstractNumId w:val="22"/>
  </w:num>
  <w:num w:numId="26">
    <w:abstractNumId w:val="18"/>
  </w:num>
  <w:num w:numId="27">
    <w:abstractNumId w:val="20"/>
  </w:num>
  <w:num w:numId="28">
    <w:abstractNumId w:val="28"/>
  </w:num>
  <w:num w:numId="29">
    <w:abstractNumId w:val="26"/>
  </w:num>
  <w:num w:numId="30">
    <w:abstractNumId w:val="6"/>
  </w:num>
  <w:num w:numId="31">
    <w:abstractNumId w:val="13"/>
  </w:num>
  <w:num w:numId="32">
    <w:abstractNumId w:val="9"/>
  </w:num>
  <w:num w:numId="33">
    <w:abstractNumId w:val="9"/>
  </w:num>
  <w:num w:numId="34">
    <w:abstractNumId w:val="21"/>
  </w:num>
  <w:num w:numId="35">
    <w:abstractNumId w:val="1"/>
  </w:num>
  <w:num w:numId="36">
    <w:abstractNumId w:val="29"/>
  </w:num>
  <w:num w:numId="37">
    <w:abstractNumId w:val="5"/>
  </w:num>
  <w:num w:numId="38">
    <w:abstractNumId w:val="2"/>
  </w:num>
  <w:num w:numId="39">
    <w:abstractNumId w:val="17"/>
  </w:num>
  <w:num w:numId="40">
    <w:abstractNumId w:val="1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84"/>
    <w:rsid w:val="000003F9"/>
    <w:rsid w:val="00005952"/>
    <w:rsid w:val="0000602C"/>
    <w:rsid w:val="00012781"/>
    <w:rsid w:val="000219F9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6442B"/>
    <w:rsid w:val="00073598"/>
    <w:rsid w:val="0008010A"/>
    <w:rsid w:val="00081E80"/>
    <w:rsid w:val="000965A2"/>
    <w:rsid w:val="000A11F2"/>
    <w:rsid w:val="000A2C8A"/>
    <w:rsid w:val="000A651A"/>
    <w:rsid w:val="000A7267"/>
    <w:rsid w:val="000B023B"/>
    <w:rsid w:val="000D0F03"/>
    <w:rsid w:val="000E2197"/>
    <w:rsid w:val="000E2340"/>
    <w:rsid w:val="000E386C"/>
    <w:rsid w:val="000E7135"/>
    <w:rsid w:val="000F4603"/>
    <w:rsid w:val="000F4A07"/>
    <w:rsid w:val="0010370F"/>
    <w:rsid w:val="00110F4A"/>
    <w:rsid w:val="00112719"/>
    <w:rsid w:val="00114456"/>
    <w:rsid w:val="00120772"/>
    <w:rsid w:val="00126484"/>
    <w:rsid w:val="00126523"/>
    <w:rsid w:val="001322E5"/>
    <w:rsid w:val="00146562"/>
    <w:rsid w:val="001465B9"/>
    <w:rsid w:val="00152CC3"/>
    <w:rsid w:val="00157B64"/>
    <w:rsid w:val="00162A93"/>
    <w:rsid w:val="00163877"/>
    <w:rsid w:val="00163E91"/>
    <w:rsid w:val="00163FDB"/>
    <w:rsid w:val="00164498"/>
    <w:rsid w:val="00172E5B"/>
    <w:rsid w:val="00173A52"/>
    <w:rsid w:val="00174B6C"/>
    <w:rsid w:val="001751F0"/>
    <w:rsid w:val="0018231F"/>
    <w:rsid w:val="0018246D"/>
    <w:rsid w:val="00191926"/>
    <w:rsid w:val="00191E3F"/>
    <w:rsid w:val="001937AD"/>
    <w:rsid w:val="001953B1"/>
    <w:rsid w:val="00195467"/>
    <w:rsid w:val="001A3709"/>
    <w:rsid w:val="001C10AE"/>
    <w:rsid w:val="001C2312"/>
    <w:rsid w:val="001C71DD"/>
    <w:rsid w:val="001D3587"/>
    <w:rsid w:val="001F14A8"/>
    <w:rsid w:val="001F3ACB"/>
    <w:rsid w:val="001F7A08"/>
    <w:rsid w:val="00204AAD"/>
    <w:rsid w:val="00204FFA"/>
    <w:rsid w:val="00206ABD"/>
    <w:rsid w:val="00210801"/>
    <w:rsid w:val="0021107E"/>
    <w:rsid w:val="002166F1"/>
    <w:rsid w:val="00232468"/>
    <w:rsid w:val="0025110E"/>
    <w:rsid w:val="002529FE"/>
    <w:rsid w:val="00252DC2"/>
    <w:rsid w:val="0025542C"/>
    <w:rsid w:val="00257C58"/>
    <w:rsid w:val="00263669"/>
    <w:rsid w:val="002727A8"/>
    <w:rsid w:val="00272C2E"/>
    <w:rsid w:val="00273081"/>
    <w:rsid w:val="00274907"/>
    <w:rsid w:val="00276218"/>
    <w:rsid w:val="00287422"/>
    <w:rsid w:val="002A5DAC"/>
    <w:rsid w:val="002D1637"/>
    <w:rsid w:val="002D3543"/>
    <w:rsid w:val="002E43E5"/>
    <w:rsid w:val="002E7A5E"/>
    <w:rsid w:val="002F37F8"/>
    <w:rsid w:val="002F46C1"/>
    <w:rsid w:val="00300CB9"/>
    <w:rsid w:val="00315C2B"/>
    <w:rsid w:val="00317276"/>
    <w:rsid w:val="0032639E"/>
    <w:rsid w:val="0032784D"/>
    <w:rsid w:val="00336192"/>
    <w:rsid w:val="003366EB"/>
    <w:rsid w:val="00344391"/>
    <w:rsid w:val="00346796"/>
    <w:rsid w:val="00346F71"/>
    <w:rsid w:val="00354577"/>
    <w:rsid w:val="00357C0D"/>
    <w:rsid w:val="00361B2B"/>
    <w:rsid w:val="003652E4"/>
    <w:rsid w:val="0038061B"/>
    <w:rsid w:val="003835EB"/>
    <w:rsid w:val="00392A94"/>
    <w:rsid w:val="00394F2C"/>
    <w:rsid w:val="003A0C07"/>
    <w:rsid w:val="003A24FF"/>
    <w:rsid w:val="003B0DB4"/>
    <w:rsid w:val="003B4643"/>
    <w:rsid w:val="003B7EFF"/>
    <w:rsid w:val="003C3B7C"/>
    <w:rsid w:val="003C58B7"/>
    <w:rsid w:val="003C6AB4"/>
    <w:rsid w:val="003D2952"/>
    <w:rsid w:val="003E087F"/>
    <w:rsid w:val="004025D1"/>
    <w:rsid w:val="00403294"/>
    <w:rsid w:val="00403D68"/>
    <w:rsid w:val="00404CD7"/>
    <w:rsid w:val="004050A0"/>
    <w:rsid w:val="00412B98"/>
    <w:rsid w:val="00416636"/>
    <w:rsid w:val="00421674"/>
    <w:rsid w:val="00422D0F"/>
    <w:rsid w:val="004422DA"/>
    <w:rsid w:val="00442E52"/>
    <w:rsid w:val="00456374"/>
    <w:rsid w:val="00460EC7"/>
    <w:rsid w:val="00466212"/>
    <w:rsid w:val="004663A3"/>
    <w:rsid w:val="00467577"/>
    <w:rsid w:val="004708CA"/>
    <w:rsid w:val="00472EB8"/>
    <w:rsid w:val="004A18AA"/>
    <w:rsid w:val="004A4172"/>
    <w:rsid w:val="004B1C1F"/>
    <w:rsid w:val="004B26D6"/>
    <w:rsid w:val="004B46EA"/>
    <w:rsid w:val="004C4C62"/>
    <w:rsid w:val="004C6087"/>
    <w:rsid w:val="004D52DD"/>
    <w:rsid w:val="004D6721"/>
    <w:rsid w:val="004E1459"/>
    <w:rsid w:val="004E4101"/>
    <w:rsid w:val="004E4BE9"/>
    <w:rsid w:val="004F40A4"/>
    <w:rsid w:val="004F5379"/>
    <w:rsid w:val="004F6B97"/>
    <w:rsid w:val="004F7B23"/>
    <w:rsid w:val="00501FCB"/>
    <w:rsid w:val="00505DD1"/>
    <w:rsid w:val="005177CB"/>
    <w:rsid w:val="00521AEC"/>
    <w:rsid w:val="0052717B"/>
    <w:rsid w:val="00527A5F"/>
    <w:rsid w:val="00533DDF"/>
    <w:rsid w:val="00536C1E"/>
    <w:rsid w:val="00542D66"/>
    <w:rsid w:val="00545D4B"/>
    <w:rsid w:val="005462E5"/>
    <w:rsid w:val="00547033"/>
    <w:rsid w:val="005473ED"/>
    <w:rsid w:val="00552FDD"/>
    <w:rsid w:val="005565A4"/>
    <w:rsid w:val="00557646"/>
    <w:rsid w:val="0056406B"/>
    <w:rsid w:val="00582A95"/>
    <w:rsid w:val="00586A79"/>
    <w:rsid w:val="005877CA"/>
    <w:rsid w:val="00593DE1"/>
    <w:rsid w:val="005A48FB"/>
    <w:rsid w:val="005A52E0"/>
    <w:rsid w:val="005B2F68"/>
    <w:rsid w:val="005B7DED"/>
    <w:rsid w:val="005C3406"/>
    <w:rsid w:val="005C6BAD"/>
    <w:rsid w:val="005E2736"/>
    <w:rsid w:val="005F21AF"/>
    <w:rsid w:val="005F243A"/>
    <w:rsid w:val="0060619A"/>
    <w:rsid w:val="006170C8"/>
    <w:rsid w:val="00620CC3"/>
    <w:rsid w:val="00621B30"/>
    <w:rsid w:val="006221A8"/>
    <w:rsid w:val="006221D6"/>
    <w:rsid w:val="006245CF"/>
    <w:rsid w:val="00624E59"/>
    <w:rsid w:val="00625488"/>
    <w:rsid w:val="00635F1C"/>
    <w:rsid w:val="00637C18"/>
    <w:rsid w:val="006417C0"/>
    <w:rsid w:val="00643206"/>
    <w:rsid w:val="00650552"/>
    <w:rsid w:val="00654E30"/>
    <w:rsid w:val="0066374D"/>
    <w:rsid w:val="00664FCC"/>
    <w:rsid w:val="00677B1E"/>
    <w:rsid w:val="00681E86"/>
    <w:rsid w:val="00684637"/>
    <w:rsid w:val="006903AF"/>
    <w:rsid w:val="0069259B"/>
    <w:rsid w:val="0069645A"/>
    <w:rsid w:val="006A63D3"/>
    <w:rsid w:val="006B096B"/>
    <w:rsid w:val="006B516B"/>
    <w:rsid w:val="006B748E"/>
    <w:rsid w:val="006C318A"/>
    <w:rsid w:val="006C3A3F"/>
    <w:rsid w:val="006C57DF"/>
    <w:rsid w:val="006D02FC"/>
    <w:rsid w:val="006D1A70"/>
    <w:rsid w:val="006E13FE"/>
    <w:rsid w:val="006E2854"/>
    <w:rsid w:val="006F4302"/>
    <w:rsid w:val="00711088"/>
    <w:rsid w:val="00711DB7"/>
    <w:rsid w:val="00713681"/>
    <w:rsid w:val="007200B9"/>
    <w:rsid w:val="0072084F"/>
    <w:rsid w:val="007219A5"/>
    <w:rsid w:val="00725754"/>
    <w:rsid w:val="007300E6"/>
    <w:rsid w:val="007372E5"/>
    <w:rsid w:val="007457E0"/>
    <w:rsid w:val="0075017D"/>
    <w:rsid w:val="007506CA"/>
    <w:rsid w:val="00765D87"/>
    <w:rsid w:val="00771C12"/>
    <w:rsid w:val="007727D2"/>
    <w:rsid w:val="00772C0F"/>
    <w:rsid w:val="007755D8"/>
    <w:rsid w:val="0078125D"/>
    <w:rsid w:val="00781B70"/>
    <w:rsid w:val="00782742"/>
    <w:rsid w:val="00790FFC"/>
    <w:rsid w:val="00793007"/>
    <w:rsid w:val="0079512B"/>
    <w:rsid w:val="0079708E"/>
    <w:rsid w:val="0079729A"/>
    <w:rsid w:val="007A037E"/>
    <w:rsid w:val="007A2320"/>
    <w:rsid w:val="007A6C8C"/>
    <w:rsid w:val="007B4465"/>
    <w:rsid w:val="007B7CBA"/>
    <w:rsid w:val="007C0524"/>
    <w:rsid w:val="007C056B"/>
    <w:rsid w:val="007C10B9"/>
    <w:rsid w:val="007D3B3F"/>
    <w:rsid w:val="007D4BFA"/>
    <w:rsid w:val="007D747F"/>
    <w:rsid w:val="007E3E8D"/>
    <w:rsid w:val="007E5E9E"/>
    <w:rsid w:val="007E61E9"/>
    <w:rsid w:val="007E6873"/>
    <w:rsid w:val="007F5C6C"/>
    <w:rsid w:val="00800391"/>
    <w:rsid w:val="0080601F"/>
    <w:rsid w:val="008142B7"/>
    <w:rsid w:val="00815347"/>
    <w:rsid w:val="00816F72"/>
    <w:rsid w:val="00822218"/>
    <w:rsid w:val="00822CAA"/>
    <w:rsid w:val="008253F9"/>
    <w:rsid w:val="008312A1"/>
    <w:rsid w:val="008313C1"/>
    <w:rsid w:val="00831B95"/>
    <w:rsid w:val="00832E9C"/>
    <w:rsid w:val="008332AA"/>
    <w:rsid w:val="00844186"/>
    <w:rsid w:val="00846951"/>
    <w:rsid w:val="0084760E"/>
    <w:rsid w:val="00851ED1"/>
    <w:rsid w:val="008556C6"/>
    <w:rsid w:val="00855D8F"/>
    <w:rsid w:val="00864A9F"/>
    <w:rsid w:val="00864DD2"/>
    <w:rsid w:val="008703A3"/>
    <w:rsid w:val="00873CEF"/>
    <w:rsid w:val="008757F4"/>
    <w:rsid w:val="00881145"/>
    <w:rsid w:val="00882214"/>
    <w:rsid w:val="00886F00"/>
    <w:rsid w:val="00891838"/>
    <w:rsid w:val="008A07A2"/>
    <w:rsid w:val="008A0DB2"/>
    <w:rsid w:val="008A21CB"/>
    <w:rsid w:val="008A332B"/>
    <w:rsid w:val="008B0D7A"/>
    <w:rsid w:val="008B12EB"/>
    <w:rsid w:val="008C3667"/>
    <w:rsid w:val="008C3EE4"/>
    <w:rsid w:val="008C5194"/>
    <w:rsid w:val="008C598A"/>
    <w:rsid w:val="008C5FF4"/>
    <w:rsid w:val="008C6158"/>
    <w:rsid w:val="008C7428"/>
    <w:rsid w:val="008D52A5"/>
    <w:rsid w:val="008D5A69"/>
    <w:rsid w:val="008D6780"/>
    <w:rsid w:val="008D78E3"/>
    <w:rsid w:val="008E1057"/>
    <w:rsid w:val="008E2659"/>
    <w:rsid w:val="008E586C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248C"/>
    <w:rsid w:val="009A650D"/>
    <w:rsid w:val="009B75CD"/>
    <w:rsid w:val="009C1E1E"/>
    <w:rsid w:val="009C2368"/>
    <w:rsid w:val="009D7DF5"/>
    <w:rsid w:val="009E1781"/>
    <w:rsid w:val="00A03139"/>
    <w:rsid w:val="00A0446C"/>
    <w:rsid w:val="00A110D5"/>
    <w:rsid w:val="00A23634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73F62"/>
    <w:rsid w:val="00A80184"/>
    <w:rsid w:val="00A823BC"/>
    <w:rsid w:val="00A83339"/>
    <w:rsid w:val="00A85D89"/>
    <w:rsid w:val="00A869A2"/>
    <w:rsid w:val="00A9360F"/>
    <w:rsid w:val="00AA11A9"/>
    <w:rsid w:val="00AA51D0"/>
    <w:rsid w:val="00AB578F"/>
    <w:rsid w:val="00AB6606"/>
    <w:rsid w:val="00AC6C31"/>
    <w:rsid w:val="00AC702A"/>
    <w:rsid w:val="00AD1B15"/>
    <w:rsid w:val="00AD4024"/>
    <w:rsid w:val="00AD60E1"/>
    <w:rsid w:val="00AE2CB1"/>
    <w:rsid w:val="00AE7239"/>
    <w:rsid w:val="00AF416B"/>
    <w:rsid w:val="00AF61F5"/>
    <w:rsid w:val="00B01BC1"/>
    <w:rsid w:val="00B05BB8"/>
    <w:rsid w:val="00B078AE"/>
    <w:rsid w:val="00B1773A"/>
    <w:rsid w:val="00B20378"/>
    <w:rsid w:val="00B27308"/>
    <w:rsid w:val="00B273B9"/>
    <w:rsid w:val="00B32054"/>
    <w:rsid w:val="00B44B22"/>
    <w:rsid w:val="00B44D9D"/>
    <w:rsid w:val="00B465FA"/>
    <w:rsid w:val="00B53C29"/>
    <w:rsid w:val="00B5412F"/>
    <w:rsid w:val="00B54E8D"/>
    <w:rsid w:val="00B550CD"/>
    <w:rsid w:val="00B64DCC"/>
    <w:rsid w:val="00B819A9"/>
    <w:rsid w:val="00B85F79"/>
    <w:rsid w:val="00BA0491"/>
    <w:rsid w:val="00BB13A0"/>
    <w:rsid w:val="00BB4B3A"/>
    <w:rsid w:val="00BD5DB3"/>
    <w:rsid w:val="00BE2686"/>
    <w:rsid w:val="00BF07B9"/>
    <w:rsid w:val="00BF37F4"/>
    <w:rsid w:val="00BF6EF1"/>
    <w:rsid w:val="00BF7FDB"/>
    <w:rsid w:val="00C028F8"/>
    <w:rsid w:val="00C06B74"/>
    <w:rsid w:val="00C12A02"/>
    <w:rsid w:val="00C24E82"/>
    <w:rsid w:val="00C26C62"/>
    <w:rsid w:val="00C3555B"/>
    <w:rsid w:val="00C35CFC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B54AA"/>
    <w:rsid w:val="00CB6043"/>
    <w:rsid w:val="00CC4187"/>
    <w:rsid w:val="00CC7125"/>
    <w:rsid w:val="00CD678E"/>
    <w:rsid w:val="00CE1A43"/>
    <w:rsid w:val="00CE1AED"/>
    <w:rsid w:val="00CE37F8"/>
    <w:rsid w:val="00CF1BDC"/>
    <w:rsid w:val="00CF48DC"/>
    <w:rsid w:val="00D02FD5"/>
    <w:rsid w:val="00D03ED0"/>
    <w:rsid w:val="00D073EC"/>
    <w:rsid w:val="00D12925"/>
    <w:rsid w:val="00D2473E"/>
    <w:rsid w:val="00D27D7B"/>
    <w:rsid w:val="00D30BFD"/>
    <w:rsid w:val="00D33C18"/>
    <w:rsid w:val="00D34BF1"/>
    <w:rsid w:val="00D63C9C"/>
    <w:rsid w:val="00D65D45"/>
    <w:rsid w:val="00D67CF2"/>
    <w:rsid w:val="00D758E4"/>
    <w:rsid w:val="00D75AD3"/>
    <w:rsid w:val="00D771E4"/>
    <w:rsid w:val="00D90E98"/>
    <w:rsid w:val="00DA3B70"/>
    <w:rsid w:val="00DA61A1"/>
    <w:rsid w:val="00DB3278"/>
    <w:rsid w:val="00DB4781"/>
    <w:rsid w:val="00DB5F76"/>
    <w:rsid w:val="00DC35E9"/>
    <w:rsid w:val="00DD0B17"/>
    <w:rsid w:val="00DD4FA1"/>
    <w:rsid w:val="00DD5B94"/>
    <w:rsid w:val="00DE35DD"/>
    <w:rsid w:val="00DE5587"/>
    <w:rsid w:val="00DE5791"/>
    <w:rsid w:val="00DE67AB"/>
    <w:rsid w:val="00DF03A6"/>
    <w:rsid w:val="00DF1DAE"/>
    <w:rsid w:val="00DF7213"/>
    <w:rsid w:val="00E024E8"/>
    <w:rsid w:val="00E02FC4"/>
    <w:rsid w:val="00E04730"/>
    <w:rsid w:val="00E05EC6"/>
    <w:rsid w:val="00E079DD"/>
    <w:rsid w:val="00E114EE"/>
    <w:rsid w:val="00E23E9D"/>
    <w:rsid w:val="00E27340"/>
    <w:rsid w:val="00E27DB2"/>
    <w:rsid w:val="00E371BF"/>
    <w:rsid w:val="00E43596"/>
    <w:rsid w:val="00E43AC8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A13D7"/>
    <w:rsid w:val="00EC2CD8"/>
    <w:rsid w:val="00ED447F"/>
    <w:rsid w:val="00ED5888"/>
    <w:rsid w:val="00EE189B"/>
    <w:rsid w:val="00EE4B9F"/>
    <w:rsid w:val="00EF06CE"/>
    <w:rsid w:val="00EF1F0D"/>
    <w:rsid w:val="00EF2A02"/>
    <w:rsid w:val="00EF7E8A"/>
    <w:rsid w:val="00F0589B"/>
    <w:rsid w:val="00F21C4D"/>
    <w:rsid w:val="00F21D84"/>
    <w:rsid w:val="00F22CB7"/>
    <w:rsid w:val="00F31CC3"/>
    <w:rsid w:val="00F44E4F"/>
    <w:rsid w:val="00F45ADF"/>
    <w:rsid w:val="00F479A4"/>
    <w:rsid w:val="00F57BE4"/>
    <w:rsid w:val="00F64562"/>
    <w:rsid w:val="00F72447"/>
    <w:rsid w:val="00F769C2"/>
    <w:rsid w:val="00F82180"/>
    <w:rsid w:val="00F92274"/>
    <w:rsid w:val="00FA11AE"/>
    <w:rsid w:val="00FB2741"/>
    <w:rsid w:val="00FB73D9"/>
    <w:rsid w:val="00FC1588"/>
    <w:rsid w:val="00FC3B14"/>
    <w:rsid w:val="00FC6386"/>
    <w:rsid w:val="00FD3515"/>
    <w:rsid w:val="00FE31D1"/>
    <w:rsid w:val="00FE3BD9"/>
    <w:rsid w:val="00FE67E6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2F4B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pPr>
      <w:spacing w:after="160" w:line="259" w:lineRule="auto"/>
    </w:pPr>
    <w:rPr>
      <w:rFonts w:ascii="Arial" w:hAnsi="Arial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="MS Gothic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374"/>
    <w:pPr>
      <w:keepNext/>
      <w:keepLines/>
      <w:numPr>
        <w:ilvl w:val="1"/>
        <w:numId w:val="17"/>
      </w:numPr>
      <w:spacing w:before="40" w:after="0"/>
      <w:outlineLvl w:val="1"/>
    </w:pPr>
    <w:rPr>
      <w:rFonts w:ascii="Calibri" w:eastAsia="MS Gothic" w:hAnsi="Calibr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374"/>
    <w:pPr>
      <w:keepNext/>
      <w:keepLines/>
      <w:numPr>
        <w:ilvl w:val="2"/>
        <w:numId w:val="17"/>
      </w:numPr>
      <w:spacing w:before="200" w:after="0"/>
      <w:outlineLvl w:val="2"/>
    </w:pPr>
    <w:rPr>
      <w:rFonts w:ascii="Calibri" w:eastAsia="MS Gothic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374"/>
    <w:pPr>
      <w:keepNext/>
      <w:keepLines/>
      <w:numPr>
        <w:ilvl w:val="3"/>
        <w:numId w:val="17"/>
      </w:numPr>
      <w:spacing w:before="200" w:after="0"/>
      <w:outlineLvl w:val="3"/>
    </w:pPr>
    <w:rPr>
      <w:rFonts w:ascii="Calibri" w:eastAsia="MS Gothic" w:hAnsi="Calibri"/>
      <w:b/>
      <w:bCs/>
      <w:i/>
      <w:iCs/>
      <w:color w:val="FFC4C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374"/>
    <w:pPr>
      <w:keepNext/>
      <w:keepLines/>
      <w:numPr>
        <w:ilvl w:val="4"/>
        <w:numId w:val="17"/>
      </w:numPr>
      <w:spacing w:before="200" w:after="0"/>
      <w:outlineLvl w:val="4"/>
    </w:pPr>
    <w:rPr>
      <w:rFonts w:ascii="Calibri" w:eastAsia="MS Gothic" w:hAnsi="Calibri"/>
      <w:color w:val="E0001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374"/>
    <w:pPr>
      <w:keepNext/>
      <w:keepLines/>
      <w:numPr>
        <w:ilvl w:val="5"/>
        <w:numId w:val="17"/>
      </w:numPr>
      <w:spacing w:before="200" w:after="0"/>
      <w:outlineLvl w:val="5"/>
    </w:pPr>
    <w:rPr>
      <w:rFonts w:ascii="Calibri" w:eastAsia="MS Gothic" w:hAnsi="Calibri"/>
      <w:i/>
      <w:iCs/>
      <w:color w:val="E0001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374"/>
    <w:pPr>
      <w:keepNext/>
      <w:keepLines/>
      <w:numPr>
        <w:ilvl w:val="6"/>
        <w:numId w:val="17"/>
      </w:numPr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374"/>
    <w:pPr>
      <w:keepNext/>
      <w:keepLines/>
      <w:numPr>
        <w:ilvl w:val="7"/>
        <w:numId w:val="17"/>
      </w:numPr>
      <w:spacing w:before="200" w:after="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374"/>
    <w:pPr>
      <w:keepNext/>
      <w:keepLines/>
      <w:numPr>
        <w:ilvl w:val="8"/>
        <w:numId w:val="17"/>
      </w:numPr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4FE2"/>
    <w:rPr>
      <w:rFonts w:ascii="Arial" w:eastAsia="MS Gothic" w:hAnsi="Arial" w:cs="Times New Roman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Normal"/>
    <w:next w:val="Normal"/>
    <w:uiPriority w:val="39"/>
    <w:unhideWhenUsed/>
    <w:rsid w:val="00B5412F"/>
    <w:pPr>
      <w:spacing w:before="120" w:after="0" w:line="240" w:lineRule="auto"/>
      <w:jc w:val="both"/>
    </w:pPr>
    <w:rPr>
      <w:b/>
      <w:sz w:val="24"/>
      <w:lang w:val="en-GB"/>
    </w:rPr>
  </w:style>
  <w:style w:type="character" w:styleId="Hyperlink">
    <w:name w:val="Hyperlink"/>
    <w:uiPriority w:val="99"/>
    <w:unhideWhenUsed/>
    <w:rsid w:val="0032639E"/>
    <w:rPr>
      <w:color w:val="0099EE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456374"/>
    <w:rPr>
      <w:rFonts w:ascii="Calibri" w:eastAsia="MS Gothic" w:hAnsi="Calibri" w:cs="Times New Roman"/>
      <w:sz w:val="26"/>
      <w:szCs w:val="26"/>
    </w:rPr>
  </w:style>
  <w:style w:type="paragraph" w:customStyle="1" w:styleId="Els-body-text">
    <w:name w:val="Els-body-text"/>
    <w:rsid w:val="008A21CB"/>
    <w:pPr>
      <w:spacing w:line="240" w:lineRule="exact"/>
      <w:ind w:firstLine="238"/>
      <w:jc w:val="both"/>
    </w:pPr>
    <w:rPr>
      <w:rFonts w:ascii="Times New Roman" w:eastAsia="SimSun" w:hAnsi="Times New Roman"/>
      <w:lang w:val="en-US" w:eastAsia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B5412F"/>
    <w:pPr>
      <w:spacing w:after="0"/>
      <w:ind w:left="220"/>
    </w:pPr>
    <w:rPr>
      <w:lang w:val="en-GB"/>
    </w:rPr>
  </w:style>
  <w:style w:type="table" w:styleId="TableGrid">
    <w:name w:val="Table Grid"/>
    <w:basedOn w:val="TableNormal"/>
    <w:uiPriority w:val="59"/>
    <w:rsid w:val="00FE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link w:val="ICRHBDocumentTitle"/>
    <w:rsid w:val="00924602"/>
    <w:rPr>
      <w:rFonts w:ascii="Arial" w:eastAsia="MS Gothic" w:hAnsi="Arial" w:cs="Times New Roman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next w:val="ICRHBNormal"/>
    <w:link w:val="ICRHBSectionHeaderZeichen"/>
    <w:qFormat/>
    <w:rsid w:val="00472EB8"/>
    <w:pPr>
      <w:numPr>
        <w:numId w:val="17"/>
      </w:numPr>
      <w:spacing w:before="360" w:after="240"/>
    </w:pPr>
    <w:rPr>
      <w:bCs/>
      <w:color w:val="4F81BD" w:themeColor="accent1"/>
      <w:sz w:val="32"/>
      <w:lang w:val="en-GB"/>
    </w:rPr>
  </w:style>
  <w:style w:type="character" w:customStyle="1" w:styleId="ICRHBSectionHeaderZeichen">
    <w:name w:val="ICRHB Section Header Zeichen"/>
    <w:link w:val="ICRHBSectionHeader"/>
    <w:rsid w:val="00472EB8"/>
    <w:rPr>
      <w:rFonts w:ascii="Arial" w:eastAsia="MS Gothic" w:hAnsi="Arial"/>
      <w:b/>
      <w:bCs/>
      <w:color w:val="4F81BD" w:themeColor="accent1"/>
      <w:sz w:val="32"/>
      <w:szCs w:val="32"/>
      <w:lang w:val="en-GB" w:eastAsia="en-US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Heading2"/>
    <w:next w:val="ICRHBNormal"/>
    <w:link w:val="ICRHBSectionSubheaderChar"/>
    <w:qFormat/>
    <w:rsid w:val="00472EB8"/>
    <w:pPr>
      <w:spacing w:before="360" w:after="240"/>
    </w:pPr>
    <w:rPr>
      <w:rFonts w:ascii="Arial" w:hAnsi="Arial" w:cs="Arial"/>
      <w:b/>
      <w:bCs/>
      <w:color w:val="4F81BD" w:themeColor="accent1"/>
      <w:sz w:val="28"/>
      <w:szCs w:val="28"/>
      <w:lang w:val="en-GB"/>
    </w:rPr>
  </w:style>
  <w:style w:type="character" w:customStyle="1" w:styleId="ICRHBSectionSubheaderChar">
    <w:name w:val="ICRHB Section Subheader Char"/>
    <w:link w:val="ICRHBSectionSubheader"/>
    <w:rsid w:val="00472EB8"/>
    <w:rPr>
      <w:rFonts w:ascii="Arial" w:eastAsia="MS Gothic" w:hAnsi="Arial" w:cs="Arial"/>
      <w:b/>
      <w:bCs/>
      <w:color w:val="4F81BD" w:themeColor="accent1"/>
      <w:sz w:val="28"/>
      <w:szCs w:val="28"/>
      <w:lang w:val="en-GB" w:eastAsia="en-US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B5412F"/>
    <w:pPr>
      <w:spacing w:after="0"/>
      <w:ind w:left="440"/>
    </w:pPr>
    <w:rPr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spacing w:after="0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spacing w:after="0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spacing w:after="0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spacing w:after="0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spacing w:after="0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spacing w:after="0"/>
      <w:ind w:left="1760"/>
    </w:pPr>
    <w:rPr>
      <w:rFonts w:ascii="Cambria" w:hAnsi="Cambria"/>
      <w:sz w:val="20"/>
      <w:szCs w:val="20"/>
    </w:r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Heading3"/>
    <w:next w:val="ICRHBNormal"/>
    <w:qFormat/>
    <w:rsid w:val="00DB4781"/>
    <w:rPr>
      <w:rFonts w:ascii="Arial" w:hAnsi="Arial"/>
      <w:color w:val="4F81BD" w:themeColor="accent1"/>
      <w:lang w:val="en-GB"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rPr>
      <w:rFonts w:ascii="Arial" w:hAnsi="Arial"/>
      <w:sz w:val="22"/>
      <w:szCs w:val="22"/>
      <w:lang w:val="ru-RU" w:eastAsia="en-US"/>
    </w:rPr>
  </w:style>
  <w:style w:type="character" w:customStyle="1" w:styleId="Heading3Char">
    <w:name w:val="Heading 3 Char"/>
    <w:link w:val="Heading3"/>
    <w:uiPriority w:val="9"/>
    <w:semiHidden/>
    <w:rsid w:val="00456374"/>
    <w:rPr>
      <w:rFonts w:ascii="Calibri" w:eastAsia="MS Gothic" w:hAnsi="Calibri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56374"/>
    <w:rPr>
      <w:rFonts w:ascii="Calibri" w:eastAsia="MS Gothic" w:hAnsi="Calibri" w:cs="Times New Roman"/>
      <w:b/>
      <w:bCs/>
      <w:i/>
      <w:iCs/>
      <w:color w:val="FFC4C9"/>
    </w:rPr>
  </w:style>
  <w:style w:type="character" w:customStyle="1" w:styleId="Heading5Char">
    <w:name w:val="Heading 5 Char"/>
    <w:link w:val="Heading5"/>
    <w:uiPriority w:val="9"/>
    <w:semiHidden/>
    <w:rsid w:val="00456374"/>
    <w:rPr>
      <w:rFonts w:ascii="Calibri" w:eastAsia="MS Gothic" w:hAnsi="Calibri" w:cs="Times New Roman"/>
      <w:color w:val="E00012"/>
    </w:rPr>
  </w:style>
  <w:style w:type="character" w:customStyle="1" w:styleId="Heading6Char">
    <w:name w:val="Heading 6 Char"/>
    <w:link w:val="Heading6"/>
    <w:uiPriority w:val="9"/>
    <w:semiHidden/>
    <w:rsid w:val="00456374"/>
    <w:rPr>
      <w:rFonts w:ascii="Calibri" w:eastAsia="MS Gothic" w:hAnsi="Calibri" w:cs="Times New Roman"/>
      <w:i/>
      <w:iCs/>
      <w:color w:val="E00012"/>
    </w:rPr>
  </w:style>
  <w:style w:type="character" w:customStyle="1" w:styleId="Heading7Char">
    <w:name w:val="Heading 7 Char"/>
    <w:link w:val="Heading7"/>
    <w:uiPriority w:val="9"/>
    <w:semiHidden/>
    <w:rsid w:val="00456374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56374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5637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2F37F8"/>
    <w:pPr>
      <w:ind w:left="440" w:hanging="440"/>
    </w:pPr>
  </w:style>
  <w:style w:type="paragraph" w:styleId="Caption">
    <w:name w:val="caption"/>
    <w:basedOn w:val="ICRHBNormal"/>
    <w:next w:val="Normal"/>
    <w:uiPriority w:val="35"/>
    <w:unhideWhenUsed/>
    <w:qFormat/>
    <w:rsid w:val="00F92274"/>
    <w:pPr>
      <w:spacing w:after="200" w:line="240" w:lineRule="auto"/>
      <w:jc w:val="center"/>
    </w:pPr>
    <w:rPr>
      <w:b/>
      <w:bCs/>
      <w:sz w:val="20"/>
    </w:rPr>
  </w:style>
  <w:style w:type="paragraph" w:customStyle="1" w:styleId="Tablecaption">
    <w:name w:val="Table caption"/>
    <w:basedOn w:val="Normal"/>
    <w:qFormat/>
    <w:rsid w:val="007E6873"/>
    <w:pPr>
      <w:spacing w:before="120" w:after="200" w:line="240" w:lineRule="auto"/>
      <w:contextualSpacing/>
      <w:jc w:val="center"/>
    </w:pPr>
    <w:rPr>
      <w:rFonts w:ascii="Calibri" w:eastAsiaTheme="minorEastAsia" w:hAnsi="Calibri" w:cstheme="minorBidi"/>
      <w:b/>
      <w:lang w:val="en-GB" w:eastAsia="en-GB"/>
    </w:rPr>
  </w:style>
  <w:style w:type="paragraph" w:customStyle="1" w:styleId="ICRTableText">
    <w:name w:val="ICR Table Text"/>
    <w:qFormat/>
    <w:rsid w:val="007E6873"/>
    <w:pPr>
      <w:spacing w:before="60" w:after="60"/>
    </w:pPr>
    <w:rPr>
      <w:rFonts w:ascii="Calibri" w:eastAsiaTheme="minorEastAsia" w:hAnsi="Calibri" w:cstheme="minorBidi"/>
      <w:lang w:val="en-GB" w:eastAsia="en-GB"/>
    </w:rPr>
  </w:style>
  <w:style w:type="paragraph" w:customStyle="1" w:styleId="ICRTableTitle">
    <w:name w:val="ICR Table Title"/>
    <w:basedOn w:val="ICRTableText"/>
    <w:qFormat/>
    <w:rsid w:val="007E6873"/>
    <w:rPr>
      <w:rFonts w:asciiTheme="minorHAnsi" w:hAnsiTheme="minorHAnsi"/>
      <w:b/>
    </w:rPr>
  </w:style>
  <w:style w:type="paragraph" w:customStyle="1" w:styleId="ICRNormal">
    <w:name w:val="ICR Normal"/>
    <w:basedOn w:val="Normal"/>
    <w:qFormat/>
    <w:rsid w:val="000D0F03"/>
    <w:pPr>
      <w:keepLines/>
      <w:tabs>
        <w:tab w:val="left" w:pos="851"/>
      </w:tabs>
      <w:spacing w:before="160" w:after="60" w:line="240" w:lineRule="auto"/>
    </w:pPr>
    <w:rPr>
      <w:rFonts w:asciiTheme="minorHAnsi" w:eastAsiaTheme="minorEastAsia" w:hAnsiTheme="minorHAnsi" w:cstheme="minorBidi"/>
      <w:lang w:val="en-GB" w:eastAsia="en-GB"/>
    </w:rPr>
  </w:style>
  <w:style w:type="paragraph" w:customStyle="1" w:styleId="ICRSubheader">
    <w:name w:val="ICR Subheader"/>
    <w:basedOn w:val="ICRNormal"/>
    <w:qFormat/>
    <w:rsid w:val="000D0F03"/>
    <w:pPr>
      <w:keepNext/>
      <w:keepLines w:val="0"/>
      <w:widowControl w:val="0"/>
    </w:pPr>
    <w:rPr>
      <w:rFonts w:ascii="Calibri" w:eastAsiaTheme="minorHAnsi" w:hAnsi="Calibri" w:cs="Arial-BoldMT"/>
      <w:b/>
      <w:bCs/>
      <w:i/>
      <w:color w:val="4F81BD" w:themeColor="accent1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4675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6D6F-57C9-43DD-ACE7-327E2F4C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Bernardo</dc:creator>
  <cp:keywords/>
  <dc:description/>
  <cp:lastModifiedBy>Laurita Pavlisak-Kosta</cp:lastModifiedBy>
  <cp:revision>2</cp:revision>
  <cp:lastPrinted>2016-04-14T06:43:00Z</cp:lastPrinted>
  <dcterms:created xsi:type="dcterms:W3CDTF">2022-02-10T18:42:00Z</dcterms:created>
  <dcterms:modified xsi:type="dcterms:W3CDTF">2022-02-10T18:42:00Z</dcterms:modified>
</cp:coreProperties>
</file>